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734BC">
      <w:pPr>
        <w:pStyle w:val="59"/>
        <w:tabs>
          <w:tab w:val="right" w:pos="9639"/>
        </w:tabs>
        <w:spacing w:after="0"/>
        <w:rPr>
          <w:b/>
          <w:i/>
          <w:sz w:val="28"/>
          <w:lang w:val="en-US" w:eastAsia="zh-CN"/>
        </w:rPr>
      </w:pPr>
      <w:r>
        <w:rPr>
          <w:b/>
          <w:sz w:val="24"/>
        </w:rPr>
        <w:t>3GPP TSG-RAN5 Meeting #</w:t>
      </w:r>
      <w:r>
        <w:rPr>
          <w:rFonts w:hint="eastAsia"/>
          <w:b/>
          <w:sz w:val="24"/>
          <w:lang w:val="en-US" w:eastAsia="zh-CN"/>
        </w:rPr>
        <w:t>108</w:t>
      </w:r>
      <w:r>
        <w:rPr>
          <w:b/>
          <w:i/>
          <w:sz w:val="28"/>
        </w:rPr>
        <w:tab/>
      </w:r>
      <w:r>
        <w:rPr>
          <w:rFonts w:hint="eastAsia"/>
          <w:b/>
          <w:sz w:val="24"/>
          <w:lang w:val="en-US" w:eastAsia="zh-CN"/>
        </w:rPr>
        <w:t>R5-253928</w:t>
      </w:r>
    </w:p>
    <w:p w14:paraId="40CEE44B">
      <w:pPr>
        <w:pStyle w:val="59"/>
        <w:tabs>
          <w:tab w:val="right" w:pos="9639"/>
        </w:tabs>
        <w:spacing w:after="0"/>
        <w:rPr>
          <w:b/>
          <w:sz w:val="24"/>
          <w:lang w:eastAsia="zh-CN"/>
        </w:rPr>
      </w:pPr>
      <w:r>
        <w:rPr>
          <w:rFonts w:hint="eastAsia"/>
          <w:b/>
          <w:sz w:val="24"/>
        </w:rPr>
        <w:t>Bengaluru, India,</w:t>
      </w:r>
      <w:r>
        <w:rPr>
          <w:b/>
          <w:sz w:val="24"/>
        </w:rPr>
        <w:t xml:space="preserve"> </w:t>
      </w:r>
      <w:r>
        <w:rPr>
          <w:rFonts w:hint="eastAsia"/>
          <w:b/>
          <w:sz w:val="24"/>
        </w:rPr>
        <w:t>August</w:t>
      </w:r>
      <w:r>
        <w:rPr>
          <w:b/>
          <w:sz w:val="24"/>
        </w:rPr>
        <w:t xml:space="preserve"> </w:t>
      </w:r>
      <w:r>
        <w:rPr>
          <w:rFonts w:hint="eastAsia"/>
          <w:b/>
          <w:sz w:val="24"/>
          <w:lang w:val="en-US" w:eastAsia="zh-CN"/>
        </w:rPr>
        <w:t>25</w:t>
      </w:r>
      <w:r>
        <w:rPr>
          <w:rFonts w:hint="eastAsia"/>
          <w:b/>
          <w:sz w:val="24"/>
          <w:vertAlign w:val="superscript"/>
          <w:lang w:val="en-US" w:eastAsia="zh-CN"/>
        </w:rPr>
        <w:t>th</w:t>
      </w:r>
      <w:r>
        <w:rPr>
          <w:rFonts w:hint="eastAsia"/>
          <w:b/>
          <w:sz w:val="24"/>
          <w:lang w:val="en-US" w:eastAsia="zh-CN"/>
        </w:rPr>
        <w:t xml:space="preserve"> </w:t>
      </w:r>
      <w:r>
        <w:rPr>
          <w:b/>
          <w:sz w:val="24"/>
        </w:rPr>
        <w:t xml:space="preserve"> – </w:t>
      </w:r>
      <w:r>
        <w:rPr>
          <w:rFonts w:hint="eastAsia"/>
          <w:b/>
          <w:sz w:val="24"/>
        </w:rPr>
        <w:t>August</w:t>
      </w:r>
      <w:r>
        <w:rPr>
          <w:rFonts w:hint="eastAsia"/>
          <w:b/>
          <w:sz w:val="24"/>
          <w:lang w:val="en-US" w:eastAsia="zh-CN"/>
        </w:rPr>
        <w:t xml:space="preserve"> 29</w:t>
      </w:r>
      <w:r>
        <w:rPr>
          <w:rFonts w:hint="eastAsia"/>
          <w:b/>
          <w:sz w:val="24"/>
          <w:vertAlign w:val="superscript"/>
          <w:lang w:val="en-US" w:eastAsia="zh-CN"/>
        </w:rPr>
        <w:t>th</w:t>
      </w:r>
      <w:r>
        <w:rPr>
          <w:rFonts w:hint="eastAsia"/>
          <w:b/>
          <w:sz w:val="24"/>
          <w:lang w:val="en-US" w:eastAsia="zh-CN"/>
        </w:rPr>
        <w:t xml:space="preserve"> </w:t>
      </w:r>
      <w:r>
        <w:rPr>
          <w:b/>
          <w:sz w:val="24"/>
        </w:rPr>
        <w:t xml:space="preserve"> , 202</w:t>
      </w:r>
      <w:r>
        <w:rPr>
          <w:rFonts w:hint="eastAsia"/>
          <w:b/>
          <w:sz w:val="24"/>
          <w:lang w:val="en-US" w:eastAsia="zh-CN"/>
        </w:rPr>
        <w:t>5</w:t>
      </w:r>
    </w:p>
    <w:p w14:paraId="5C18DC79">
      <w:pPr>
        <w:pStyle w:val="59"/>
        <w:tabs>
          <w:tab w:val="right" w:pos="9639"/>
        </w:tabs>
        <w:spacing w:after="0"/>
        <w:rPr>
          <w:b/>
          <w:sz w:val="24"/>
        </w:rPr>
      </w:pPr>
    </w:p>
    <w:p w14:paraId="40CEF5E2">
      <w:pPr>
        <w:pStyle w:val="59"/>
        <w:tabs>
          <w:tab w:val="right" w:pos="9639"/>
        </w:tabs>
        <w:spacing w:after="0"/>
        <w:rPr>
          <w:b/>
          <w:color w:val="A6A6A6" w:themeColor="background1" w:themeShade="A6"/>
          <w:sz w:val="24"/>
        </w:rPr>
      </w:pPr>
      <w:r>
        <w:rPr>
          <w:b/>
          <w:color w:val="A6A6A6" w:themeColor="background1" w:themeShade="A6"/>
          <w:sz w:val="24"/>
        </w:rPr>
        <w:t>3GPP TSG RAN Meeting #10</w:t>
      </w:r>
      <w:r>
        <w:rPr>
          <w:rFonts w:hint="eastAsia"/>
          <w:b/>
          <w:color w:val="A6A6A6" w:themeColor="background1" w:themeShade="A6"/>
          <w:sz w:val="24"/>
          <w:lang w:val="en-US" w:eastAsia="zh-CN"/>
        </w:rPr>
        <w:t>9</w:t>
      </w:r>
      <w:r>
        <w:rPr>
          <w:b/>
          <w:color w:val="A6A6A6" w:themeColor="background1" w:themeShade="A6"/>
          <w:sz w:val="24"/>
        </w:rPr>
        <w:tab/>
      </w:r>
      <w:r>
        <w:rPr>
          <w:b/>
          <w:color w:val="A6A6A6" w:themeColor="background1" w:themeShade="A6"/>
          <w:sz w:val="24"/>
        </w:rPr>
        <w:t>RP-2</w:t>
      </w:r>
      <w:r>
        <w:rPr>
          <w:rFonts w:hint="eastAsia"/>
          <w:b/>
          <w:color w:val="A6A6A6" w:themeColor="background1" w:themeShade="A6"/>
          <w:sz w:val="24"/>
          <w:lang w:val="en-US" w:eastAsia="zh-CN"/>
        </w:rPr>
        <w:t>5</w:t>
      </w:r>
      <w:r>
        <w:rPr>
          <w:b/>
          <w:color w:val="A6A6A6" w:themeColor="background1" w:themeShade="A6"/>
          <w:sz w:val="24"/>
        </w:rPr>
        <w:t>xxxx</w:t>
      </w:r>
    </w:p>
    <w:p w14:paraId="5EBBB677">
      <w:pPr>
        <w:pStyle w:val="59"/>
        <w:tabs>
          <w:tab w:val="right" w:pos="9639"/>
        </w:tabs>
        <w:spacing w:after="0"/>
        <w:rPr>
          <w:b/>
          <w:color w:val="A6A6A6" w:themeColor="background1" w:themeShade="A6"/>
          <w:sz w:val="24"/>
        </w:rPr>
      </w:pPr>
      <w:r>
        <w:rPr>
          <w:rFonts w:hint="eastAsia"/>
          <w:b/>
          <w:color w:val="A6A6A6" w:themeColor="background1" w:themeShade="A6"/>
          <w:sz w:val="24"/>
          <w:lang w:val="en-US" w:eastAsia="zh-CN"/>
        </w:rPr>
        <w:t>Beijing</w:t>
      </w:r>
      <w:r>
        <w:rPr>
          <w:rFonts w:hint="eastAsia"/>
          <w:b/>
          <w:color w:val="A6A6A6" w:themeColor="background1" w:themeShade="A6"/>
          <w:sz w:val="24"/>
        </w:rPr>
        <w:t xml:space="preserve">, </w:t>
      </w:r>
      <w:r>
        <w:rPr>
          <w:rFonts w:hint="eastAsia"/>
          <w:b/>
          <w:color w:val="A6A6A6" w:themeColor="background1" w:themeShade="A6"/>
          <w:sz w:val="24"/>
          <w:lang w:val="en-US" w:eastAsia="zh-CN"/>
        </w:rPr>
        <w:t>China</w:t>
      </w:r>
      <w:r>
        <w:rPr>
          <w:rFonts w:hint="eastAsia"/>
          <w:b/>
          <w:color w:val="A6A6A6" w:themeColor="background1" w:themeShade="A6"/>
          <w:sz w:val="24"/>
        </w:rPr>
        <w:t xml:space="preserve">, </w:t>
      </w:r>
      <w:r>
        <w:rPr>
          <w:rFonts w:hint="eastAsia"/>
          <w:b/>
          <w:color w:val="A6A6A6" w:themeColor="background1" w:themeShade="A6"/>
          <w:sz w:val="24"/>
          <w:lang w:val="en-US" w:eastAsia="zh-CN"/>
        </w:rPr>
        <w:t>September</w:t>
      </w:r>
      <w:r>
        <w:rPr>
          <w:rFonts w:hint="eastAsia"/>
          <w:b/>
          <w:color w:val="A6A6A6" w:themeColor="background1" w:themeShade="A6"/>
          <w:sz w:val="24"/>
        </w:rPr>
        <w:t xml:space="preserve"> 1</w:t>
      </w:r>
      <w:r>
        <w:rPr>
          <w:rFonts w:hint="eastAsia"/>
          <w:b/>
          <w:color w:val="A6A6A6" w:themeColor="background1" w:themeShade="A6"/>
          <w:sz w:val="24"/>
          <w:lang w:val="en-US" w:eastAsia="zh-CN"/>
        </w:rPr>
        <w:t>5</w:t>
      </w:r>
      <w:r>
        <w:rPr>
          <w:rFonts w:hint="eastAsia"/>
          <w:b/>
          <w:color w:val="A6A6A6" w:themeColor="background1" w:themeShade="A6"/>
          <w:sz w:val="24"/>
          <w:vertAlign w:val="superscript"/>
          <w:lang w:val="en-US" w:eastAsia="zh-CN"/>
        </w:rPr>
        <w:t>th</w:t>
      </w:r>
      <w:r>
        <w:rPr>
          <w:rFonts w:hint="eastAsia"/>
          <w:b/>
          <w:color w:val="A6A6A6" w:themeColor="background1" w:themeShade="A6"/>
          <w:sz w:val="24"/>
          <w:lang w:val="en-US" w:eastAsia="zh-CN"/>
        </w:rPr>
        <w:t xml:space="preserve"> </w:t>
      </w:r>
      <w:r>
        <w:rPr>
          <w:rFonts w:hint="eastAsia"/>
          <w:b/>
          <w:color w:val="A6A6A6" w:themeColor="background1" w:themeShade="A6"/>
          <w:sz w:val="24"/>
        </w:rPr>
        <w:t>-</w:t>
      </w:r>
      <w:r>
        <w:rPr>
          <w:rFonts w:hint="eastAsia"/>
          <w:b/>
          <w:color w:val="A6A6A6" w:themeColor="background1" w:themeShade="A6"/>
          <w:sz w:val="24"/>
          <w:lang w:val="en-US" w:eastAsia="zh-CN"/>
        </w:rPr>
        <w:t xml:space="preserve"> September 18</w:t>
      </w:r>
      <w:r>
        <w:rPr>
          <w:rFonts w:hint="eastAsia"/>
          <w:b/>
          <w:color w:val="A6A6A6" w:themeColor="background1" w:themeShade="A6"/>
          <w:sz w:val="24"/>
          <w:vertAlign w:val="superscript"/>
          <w:lang w:val="en-US" w:eastAsia="zh-CN"/>
        </w:rPr>
        <w:t>th</w:t>
      </w:r>
      <w:r>
        <w:rPr>
          <w:rFonts w:hint="eastAsia"/>
          <w:b/>
          <w:color w:val="A6A6A6" w:themeColor="background1" w:themeShade="A6"/>
          <w:sz w:val="24"/>
          <w:lang w:val="en-US" w:eastAsia="zh-CN"/>
        </w:rPr>
        <w:t xml:space="preserve"> </w:t>
      </w:r>
      <w:r>
        <w:rPr>
          <w:rFonts w:hint="eastAsia"/>
          <w:b/>
          <w:color w:val="A6A6A6" w:themeColor="background1" w:themeShade="A6"/>
          <w:sz w:val="24"/>
        </w:rPr>
        <w:t>, 202</w:t>
      </w:r>
      <w:r>
        <w:rPr>
          <w:rFonts w:hint="eastAsia"/>
          <w:b/>
          <w:color w:val="A6A6A6" w:themeColor="background1" w:themeShade="A6"/>
          <w:sz w:val="24"/>
          <w:lang w:val="en-US" w:eastAsia="zh-CN"/>
        </w:rPr>
        <w:t>5</w:t>
      </w:r>
      <w:r>
        <w:rPr>
          <w:rFonts w:hint="eastAsia"/>
          <w:b/>
          <w:color w:val="A6A6A6" w:themeColor="background1" w:themeShade="A6"/>
          <w:sz w:val="24"/>
        </w:rPr>
        <w:tab/>
      </w:r>
    </w:p>
    <w:p w14:paraId="6253EB7D">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14:paraId="487E08B4">
      <w:pPr>
        <w:tabs>
          <w:tab w:val="left" w:pos="2127"/>
        </w:tabs>
        <w:overflowPunct/>
        <w:autoSpaceDE/>
        <w:autoSpaceDN/>
        <w:adjustRightInd/>
        <w:spacing w:after="0"/>
        <w:ind w:left="2126" w:hanging="2126"/>
        <w:jc w:val="both"/>
        <w:textAlignment w:val="auto"/>
        <w:outlineLvl w:val="0"/>
        <w:rPr>
          <w:rFonts w:ascii="Arial" w:hAnsi="Arial" w:eastAsia="宋体"/>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CMCC</w:t>
      </w:r>
      <w:r>
        <w:rPr>
          <w:rFonts w:hint="eastAsia" w:ascii="Arial" w:hAnsi="Arial"/>
          <w:b/>
          <w:sz w:val="24"/>
          <w:szCs w:val="24"/>
          <w:lang w:val="en-US"/>
        </w:rPr>
        <w:t>, Huawei</w:t>
      </w:r>
    </w:p>
    <w:p w14:paraId="2620C99E">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New WID on Conformance - Solutions for Ambient IoT (Internet of Things) in NR</w:t>
      </w:r>
    </w:p>
    <w:p w14:paraId="52E37F46">
      <w:pPr>
        <w:tabs>
          <w:tab w:val="left" w:pos="2127"/>
        </w:tabs>
        <w:overflowPunct/>
        <w:autoSpaceDE/>
        <w:autoSpaceDN/>
        <w:adjustRightInd/>
        <w:spacing w:after="0"/>
        <w:ind w:left="2126" w:hanging="2126"/>
        <w:jc w:val="both"/>
        <w:textAlignment w:val="auto"/>
        <w:outlineLvl w:val="0"/>
        <w:rPr>
          <w:rFonts w:ascii="Arial" w:hAnsi="Arial" w:eastAsia="宋体"/>
          <w:b/>
          <w:sz w:val="24"/>
          <w:szCs w:val="24"/>
          <w:lang w:val="en-US"/>
        </w:rPr>
      </w:pPr>
      <w:r>
        <w:rPr>
          <w:rFonts w:ascii="Arial" w:hAnsi="Arial" w:eastAsia="Batang"/>
          <w:b/>
          <w:sz w:val="24"/>
          <w:szCs w:val="24"/>
        </w:rPr>
        <w:t>Document for:</w:t>
      </w:r>
      <w:r>
        <w:rPr>
          <w:rFonts w:ascii="Arial" w:hAnsi="Arial" w:eastAsia="Batang"/>
          <w:b/>
          <w:sz w:val="24"/>
          <w:szCs w:val="24"/>
        </w:rPr>
        <w:tab/>
      </w:r>
      <w:r>
        <w:rPr>
          <w:rFonts w:hint="eastAsia" w:ascii="Arial" w:hAnsi="Arial"/>
          <w:b/>
          <w:sz w:val="24"/>
          <w:szCs w:val="24"/>
          <w:lang w:val="en-US"/>
        </w:rPr>
        <w:t>Endorsement</w:t>
      </w:r>
    </w:p>
    <w:p w14:paraId="7C968834">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lang w:val="en-US"/>
        </w:rPr>
      </w:pPr>
      <w:r>
        <w:rPr>
          <w:rFonts w:ascii="Arial" w:hAnsi="Arial" w:eastAsia="Batang"/>
          <w:b/>
          <w:sz w:val="24"/>
          <w:szCs w:val="24"/>
        </w:rPr>
        <w:t>Agenda Item:</w:t>
      </w:r>
      <w:r>
        <w:rPr>
          <w:rFonts w:ascii="Arial" w:hAnsi="Arial" w:eastAsia="Batang"/>
          <w:b/>
          <w:sz w:val="24"/>
          <w:szCs w:val="24"/>
        </w:rPr>
        <w:tab/>
      </w:r>
      <w:r>
        <w:rPr>
          <w:rFonts w:ascii="Arial" w:hAnsi="Arial" w:eastAsia="Batang"/>
          <w:b/>
          <w:sz w:val="24"/>
          <w:szCs w:val="24"/>
        </w:rPr>
        <w:t>4.1</w:t>
      </w:r>
    </w:p>
    <w:p w14:paraId="35F422AF">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14:paraId="71E36DB6">
      <w:pPr>
        <w:spacing w:before="120"/>
        <w:jc w:val="center"/>
        <w:rPr>
          <w:rFonts w:ascii="Arial" w:hAnsi="Arial" w:cs="Arial"/>
          <w:sz w:val="36"/>
          <w:szCs w:val="36"/>
        </w:rPr>
      </w:pPr>
      <w:r>
        <w:rPr>
          <w:rFonts w:ascii="Arial" w:hAnsi="Arial" w:cs="Arial"/>
          <w:sz w:val="36"/>
          <w:szCs w:val="36"/>
        </w:rPr>
        <w:t>3GPP™ Work Item Description</w:t>
      </w:r>
    </w:p>
    <w:p w14:paraId="3CF4CCAA">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3"/>
      <w:bookmarkStart w:id="1" w:name="_Hlt515348424"/>
      <w:r>
        <w:rPr>
          <w:rStyle w:val="49"/>
        </w:rPr>
        <w:t>T</w:t>
      </w:r>
      <w:bookmarkEnd w:id="0"/>
      <w:bookmarkEnd w:id="1"/>
      <w:r>
        <w:rPr>
          <w:rStyle w:val="49"/>
        </w:rPr>
        <w:t>R 21.900</w:t>
      </w:r>
      <w:r>
        <w:rPr>
          <w:rStyle w:val="49"/>
        </w:rPr>
        <w:fldChar w:fldCharType="end"/>
      </w:r>
    </w:p>
    <w:p w14:paraId="165C5ED1">
      <w:pPr>
        <w:pStyle w:val="10"/>
        <w:ind w:left="2835" w:hanging="2835"/>
        <w:rPr>
          <w:sz w:val="32"/>
          <w:szCs w:val="32"/>
        </w:rPr>
      </w:pPr>
      <w:r>
        <w:rPr>
          <w:sz w:val="32"/>
          <w:szCs w:val="32"/>
        </w:rPr>
        <w:t>Title: Conformance - Solutions for Ambient IoT (Internet of Things) in NR</w:t>
      </w:r>
    </w:p>
    <w:p w14:paraId="70AE2F38">
      <w:pPr>
        <w:pStyle w:val="10"/>
        <w:ind w:left="2835" w:hanging="2835"/>
        <w:rPr>
          <w:sz w:val="32"/>
          <w:szCs w:val="32"/>
        </w:rPr>
      </w:pPr>
      <w:r>
        <w:rPr>
          <w:sz w:val="32"/>
          <w:szCs w:val="32"/>
        </w:rPr>
        <w:t>Acronym: Ambient_IoT_Solutions-ConTest</w:t>
      </w:r>
    </w:p>
    <w:p w14:paraId="6556797E">
      <w:pPr>
        <w:pStyle w:val="10"/>
        <w:ind w:left="2835" w:hanging="2835"/>
        <w:rPr>
          <w:sz w:val="32"/>
          <w:szCs w:val="32"/>
        </w:rPr>
      </w:pPr>
      <w:r>
        <w:rPr>
          <w:sz w:val="32"/>
          <w:szCs w:val="32"/>
        </w:rPr>
        <w:t>Unique identifier:</w:t>
      </w:r>
      <w:r>
        <w:rPr>
          <w:sz w:val="32"/>
          <w:szCs w:val="32"/>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3AAD8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417FC43E">
            <w:pPr>
              <w:pStyle w:val="53"/>
              <w:rPr>
                <w:b/>
                <w:bCs/>
                <w:color w:val="0000FF"/>
              </w:rPr>
            </w:pPr>
            <w:r>
              <w:rPr>
                <w:b/>
                <w:bCs/>
                <w:color w:val="0000FF"/>
              </w:rPr>
              <w:t>This WID includes a Testing part</w:t>
            </w:r>
          </w:p>
        </w:tc>
        <w:tc>
          <w:tcPr>
            <w:tcW w:w="862" w:type="dxa"/>
            <w:tcMar>
              <w:top w:w="28" w:type="dxa"/>
              <w:bottom w:w="28" w:type="dxa"/>
            </w:tcMar>
          </w:tcPr>
          <w:p w14:paraId="5D9866D2">
            <w:pPr>
              <w:pStyle w:val="53"/>
              <w:jc w:val="center"/>
              <w:rPr>
                <w:b/>
                <w:bCs/>
              </w:rPr>
            </w:pPr>
            <w:r>
              <w:rPr>
                <w:rFonts w:hint="eastAsia"/>
                <w:b/>
                <w:bCs/>
              </w:rPr>
              <w:t>X</w:t>
            </w:r>
          </w:p>
        </w:tc>
      </w:tr>
      <w:tr w14:paraId="2598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2D276BCB">
            <w:pPr>
              <w:pStyle w:val="53"/>
              <w:rPr>
                <w:b/>
                <w:bCs/>
                <w:color w:val="0000FF"/>
              </w:rPr>
            </w:pPr>
            <w:r>
              <w:rPr>
                <w:b/>
                <w:bCs/>
                <w:color w:val="0000FF"/>
              </w:rPr>
              <w:t>and it addresses the following 3GPP work area:</w:t>
            </w:r>
          </w:p>
        </w:tc>
        <w:tc>
          <w:tcPr>
            <w:tcW w:w="1772" w:type="dxa"/>
            <w:shd w:val="clear" w:color="auto" w:fill="E0E0E0"/>
          </w:tcPr>
          <w:p w14:paraId="5C5F148D">
            <w:pPr>
              <w:pStyle w:val="53"/>
              <w:rPr>
                <w:b/>
                <w:bCs/>
                <w:color w:val="0000FF"/>
              </w:rPr>
            </w:pPr>
            <w:r>
              <w:rPr>
                <w:b/>
                <w:bCs/>
                <w:color w:val="0000FF"/>
              </w:rPr>
              <w:t>Radio Access</w:t>
            </w:r>
          </w:p>
        </w:tc>
        <w:tc>
          <w:tcPr>
            <w:tcW w:w="862" w:type="dxa"/>
            <w:tcMar>
              <w:top w:w="28" w:type="dxa"/>
              <w:bottom w:w="28" w:type="dxa"/>
            </w:tcMar>
          </w:tcPr>
          <w:p w14:paraId="46A43BD7">
            <w:pPr>
              <w:pStyle w:val="53"/>
              <w:jc w:val="center"/>
              <w:rPr>
                <w:b/>
                <w:bCs/>
              </w:rPr>
            </w:pPr>
            <w:r>
              <w:rPr>
                <w:rFonts w:hint="eastAsia"/>
                <w:b/>
                <w:bCs/>
              </w:rPr>
              <w:t>X</w:t>
            </w:r>
          </w:p>
        </w:tc>
      </w:tr>
      <w:tr w14:paraId="256CD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6751723">
            <w:pPr>
              <w:pStyle w:val="53"/>
              <w:rPr>
                <w:b/>
                <w:bCs/>
                <w:color w:val="0000FF"/>
              </w:rPr>
            </w:pPr>
          </w:p>
        </w:tc>
        <w:tc>
          <w:tcPr>
            <w:tcW w:w="1772" w:type="dxa"/>
            <w:shd w:val="clear" w:color="auto" w:fill="E0E0E0"/>
          </w:tcPr>
          <w:p w14:paraId="35057E32">
            <w:pPr>
              <w:pStyle w:val="53"/>
              <w:rPr>
                <w:b/>
                <w:bCs/>
                <w:color w:val="0000FF"/>
              </w:rPr>
            </w:pPr>
            <w:r>
              <w:rPr>
                <w:b/>
                <w:bCs/>
                <w:color w:val="0000FF"/>
              </w:rPr>
              <w:t>Core Network</w:t>
            </w:r>
          </w:p>
        </w:tc>
        <w:tc>
          <w:tcPr>
            <w:tcW w:w="862" w:type="dxa"/>
            <w:tcMar>
              <w:top w:w="28" w:type="dxa"/>
              <w:bottom w:w="28" w:type="dxa"/>
            </w:tcMar>
          </w:tcPr>
          <w:p w14:paraId="2EC70DE5">
            <w:pPr>
              <w:pStyle w:val="53"/>
              <w:jc w:val="center"/>
              <w:rPr>
                <w:b/>
                <w:bCs/>
              </w:rPr>
            </w:pPr>
          </w:p>
        </w:tc>
      </w:tr>
      <w:tr w14:paraId="3D87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5BEDEA2A">
            <w:pPr>
              <w:pStyle w:val="53"/>
              <w:rPr>
                <w:b/>
                <w:bCs/>
                <w:color w:val="0000FF"/>
              </w:rPr>
            </w:pPr>
          </w:p>
        </w:tc>
        <w:tc>
          <w:tcPr>
            <w:tcW w:w="1772" w:type="dxa"/>
            <w:shd w:val="clear" w:color="auto" w:fill="E0E0E0"/>
          </w:tcPr>
          <w:p w14:paraId="513D3E06">
            <w:pPr>
              <w:pStyle w:val="53"/>
              <w:rPr>
                <w:b/>
                <w:bCs/>
                <w:color w:val="0000FF"/>
              </w:rPr>
            </w:pPr>
            <w:r>
              <w:rPr>
                <w:b/>
                <w:bCs/>
                <w:color w:val="0000FF"/>
              </w:rPr>
              <w:t>Services</w:t>
            </w:r>
          </w:p>
        </w:tc>
        <w:tc>
          <w:tcPr>
            <w:tcW w:w="862" w:type="dxa"/>
            <w:tcMar>
              <w:top w:w="28" w:type="dxa"/>
              <w:bottom w:w="28" w:type="dxa"/>
            </w:tcMar>
          </w:tcPr>
          <w:p w14:paraId="3581542E">
            <w:pPr>
              <w:pStyle w:val="53"/>
              <w:jc w:val="center"/>
              <w:rPr>
                <w:b/>
                <w:bCs/>
              </w:rPr>
            </w:pPr>
          </w:p>
        </w:tc>
      </w:tr>
    </w:tbl>
    <w:p w14:paraId="09BD6523"/>
    <w:p w14:paraId="41DDB805">
      <w:pPr>
        <w:pStyle w:val="10"/>
        <w:rPr>
          <w:rFonts w:eastAsia="宋体"/>
          <w:sz w:val="32"/>
          <w:szCs w:val="32"/>
        </w:rPr>
      </w:pPr>
      <w:r>
        <w:rPr>
          <w:sz w:val="32"/>
          <w:szCs w:val="32"/>
        </w:rPr>
        <w:t>Potential target Release:</w:t>
      </w:r>
      <w:r>
        <w:rPr>
          <w:sz w:val="32"/>
          <w:szCs w:val="32"/>
        </w:rPr>
        <w:tab/>
      </w:r>
      <w:r>
        <w:rPr>
          <w:iCs/>
          <w:sz w:val="32"/>
          <w:szCs w:val="32"/>
        </w:rPr>
        <w:t>Rel-1</w:t>
      </w:r>
      <w:r>
        <w:rPr>
          <w:rFonts w:hint="eastAsia"/>
          <w:iCs/>
          <w:sz w:val="32"/>
          <w:szCs w:val="32"/>
          <w:lang w:val="en-US"/>
        </w:rPr>
        <w:t>9</w:t>
      </w:r>
    </w:p>
    <w:p w14:paraId="71E97C84">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44708C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55AD8F4">
            <w:pPr>
              <w:pStyle w:val="53"/>
              <w:keepNext w:val="0"/>
              <w:ind w:right="-99"/>
              <w:rPr>
                <w:b/>
              </w:rPr>
            </w:pPr>
            <w:r>
              <w:rPr>
                <w:b/>
              </w:rPr>
              <w:t>Affects:</w:t>
            </w:r>
          </w:p>
        </w:tc>
        <w:tc>
          <w:tcPr>
            <w:tcW w:w="0" w:type="auto"/>
            <w:tcBorders>
              <w:left w:val="nil"/>
              <w:bottom w:val="single" w:color="auto" w:sz="12" w:space="0"/>
            </w:tcBorders>
            <w:shd w:val="clear" w:color="auto" w:fill="E0E0E0"/>
          </w:tcPr>
          <w:p w14:paraId="2941CC01">
            <w:pPr>
              <w:pStyle w:val="56"/>
            </w:pPr>
            <w:r>
              <w:t>UICC apps</w:t>
            </w:r>
          </w:p>
        </w:tc>
        <w:tc>
          <w:tcPr>
            <w:tcW w:w="0" w:type="auto"/>
            <w:tcBorders>
              <w:bottom w:val="single" w:color="auto" w:sz="12" w:space="0"/>
            </w:tcBorders>
            <w:shd w:val="clear" w:color="auto" w:fill="E0E0E0"/>
          </w:tcPr>
          <w:p w14:paraId="5C3C0127">
            <w:pPr>
              <w:pStyle w:val="56"/>
            </w:pPr>
            <w:r>
              <w:t>ME</w:t>
            </w:r>
          </w:p>
        </w:tc>
        <w:tc>
          <w:tcPr>
            <w:tcW w:w="0" w:type="auto"/>
            <w:tcBorders>
              <w:bottom w:val="single" w:color="auto" w:sz="12" w:space="0"/>
            </w:tcBorders>
            <w:shd w:val="clear" w:color="auto" w:fill="E0E0E0"/>
          </w:tcPr>
          <w:p w14:paraId="05051741">
            <w:pPr>
              <w:pStyle w:val="56"/>
            </w:pPr>
            <w:r>
              <w:t>AN</w:t>
            </w:r>
          </w:p>
        </w:tc>
        <w:tc>
          <w:tcPr>
            <w:tcW w:w="0" w:type="auto"/>
            <w:tcBorders>
              <w:bottom w:val="single" w:color="auto" w:sz="12" w:space="0"/>
            </w:tcBorders>
            <w:shd w:val="clear" w:color="auto" w:fill="E0E0E0"/>
          </w:tcPr>
          <w:p w14:paraId="2F59C32D">
            <w:pPr>
              <w:pStyle w:val="56"/>
            </w:pPr>
            <w:r>
              <w:t>CN</w:t>
            </w:r>
          </w:p>
        </w:tc>
        <w:tc>
          <w:tcPr>
            <w:tcW w:w="0" w:type="auto"/>
            <w:tcBorders>
              <w:bottom w:val="single" w:color="auto" w:sz="12" w:space="0"/>
            </w:tcBorders>
            <w:shd w:val="clear" w:color="auto" w:fill="E0E0E0"/>
          </w:tcPr>
          <w:p w14:paraId="21A14F6B">
            <w:pPr>
              <w:pStyle w:val="56"/>
            </w:pPr>
            <w:r>
              <w:t>Others (specify)</w:t>
            </w:r>
          </w:p>
        </w:tc>
      </w:tr>
      <w:tr w14:paraId="683597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2CDBE7EC">
            <w:pPr>
              <w:pStyle w:val="53"/>
              <w:keepNext w:val="0"/>
              <w:ind w:right="-99"/>
              <w:rPr>
                <w:b/>
              </w:rPr>
            </w:pPr>
            <w:r>
              <w:rPr>
                <w:b/>
              </w:rPr>
              <w:t>Yes</w:t>
            </w:r>
          </w:p>
        </w:tc>
        <w:tc>
          <w:tcPr>
            <w:tcW w:w="0" w:type="auto"/>
            <w:tcBorders>
              <w:top w:val="nil"/>
              <w:left w:val="nil"/>
            </w:tcBorders>
          </w:tcPr>
          <w:p w14:paraId="0B5D1191">
            <w:pPr>
              <w:pStyle w:val="57"/>
            </w:pPr>
          </w:p>
        </w:tc>
        <w:tc>
          <w:tcPr>
            <w:tcW w:w="0" w:type="auto"/>
            <w:tcBorders>
              <w:top w:val="nil"/>
            </w:tcBorders>
          </w:tcPr>
          <w:p w14:paraId="0C77B06F">
            <w:pPr>
              <w:pStyle w:val="57"/>
            </w:pPr>
          </w:p>
        </w:tc>
        <w:tc>
          <w:tcPr>
            <w:tcW w:w="0" w:type="auto"/>
            <w:tcBorders>
              <w:top w:val="nil"/>
            </w:tcBorders>
          </w:tcPr>
          <w:p w14:paraId="66B8541C">
            <w:pPr>
              <w:pStyle w:val="57"/>
            </w:pPr>
          </w:p>
        </w:tc>
        <w:tc>
          <w:tcPr>
            <w:tcW w:w="0" w:type="auto"/>
            <w:tcBorders>
              <w:top w:val="nil"/>
            </w:tcBorders>
          </w:tcPr>
          <w:p w14:paraId="487FA271">
            <w:pPr>
              <w:pStyle w:val="57"/>
            </w:pPr>
          </w:p>
        </w:tc>
        <w:tc>
          <w:tcPr>
            <w:tcW w:w="0" w:type="auto"/>
            <w:tcBorders>
              <w:top w:val="nil"/>
            </w:tcBorders>
          </w:tcPr>
          <w:p w14:paraId="6387B4F2">
            <w:pPr>
              <w:pStyle w:val="57"/>
            </w:pPr>
          </w:p>
        </w:tc>
      </w:tr>
      <w:tr w14:paraId="2B21C2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AFB7589">
            <w:pPr>
              <w:pStyle w:val="53"/>
              <w:keepNext w:val="0"/>
              <w:ind w:right="-99"/>
              <w:rPr>
                <w:b/>
              </w:rPr>
            </w:pPr>
            <w:r>
              <w:rPr>
                <w:b/>
              </w:rPr>
              <w:t>No</w:t>
            </w:r>
          </w:p>
        </w:tc>
        <w:tc>
          <w:tcPr>
            <w:tcW w:w="0" w:type="auto"/>
            <w:tcBorders>
              <w:left w:val="nil"/>
            </w:tcBorders>
          </w:tcPr>
          <w:p w14:paraId="4BD90AEB">
            <w:pPr>
              <w:pStyle w:val="57"/>
            </w:pPr>
            <w:r>
              <w:rPr>
                <w:rFonts w:hint="eastAsia"/>
              </w:rPr>
              <w:t>X</w:t>
            </w:r>
          </w:p>
        </w:tc>
        <w:tc>
          <w:tcPr>
            <w:tcW w:w="0" w:type="auto"/>
          </w:tcPr>
          <w:p w14:paraId="6084C6D7">
            <w:pPr>
              <w:pStyle w:val="57"/>
            </w:pPr>
            <w:r>
              <w:rPr>
                <w:rFonts w:hint="eastAsia"/>
              </w:rPr>
              <w:t>X</w:t>
            </w:r>
          </w:p>
        </w:tc>
        <w:tc>
          <w:tcPr>
            <w:tcW w:w="0" w:type="auto"/>
          </w:tcPr>
          <w:p w14:paraId="60CD0E67">
            <w:pPr>
              <w:pStyle w:val="57"/>
            </w:pPr>
            <w:r>
              <w:rPr>
                <w:rFonts w:hint="eastAsia"/>
              </w:rPr>
              <w:t>X</w:t>
            </w:r>
          </w:p>
        </w:tc>
        <w:tc>
          <w:tcPr>
            <w:tcW w:w="0" w:type="auto"/>
          </w:tcPr>
          <w:p w14:paraId="35AE7FA1">
            <w:pPr>
              <w:pStyle w:val="57"/>
            </w:pPr>
            <w:r>
              <w:rPr>
                <w:rFonts w:hint="eastAsia"/>
              </w:rPr>
              <w:t>X</w:t>
            </w:r>
          </w:p>
        </w:tc>
        <w:tc>
          <w:tcPr>
            <w:tcW w:w="0" w:type="auto"/>
          </w:tcPr>
          <w:p w14:paraId="026300C9">
            <w:pPr>
              <w:pStyle w:val="57"/>
            </w:pPr>
            <w:r>
              <w:rPr>
                <w:rFonts w:hint="eastAsia"/>
              </w:rPr>
              <w:t>X</w:t>
            </w:r>
          </w:p>
        </w:tc>
      </w:tr>
      <w:tr w14:paraId="7DB351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492DFF7D">
            <w:pPr>
              <w:pStyle w:val="53"/>
              <w:keepNext w:val="0"/>
              <w:ind w:right="-99"/>
              <w:rPr>
                <w:b/>
              </w:rPr>
            </w:pPr>
            <w:r>
              <w:rPr>
                <w:b/>
              </w:rPr>
              <w:t>Don't know</w:t>
            </w:r>
          </w:p>
        </w:tc>
        <w:tc>
          <w:tcPr>
            <w:tcW w:w="0" w:type="auto"/>
            <w:tcBorders>
              <w:left w:val="nil"/>
            </w:tcBorders>
          </w:tcPr>
          <w:p w14:paraId="04AF27FE">
            <w:pPr>
              <w:pStyle w:val="57"/>
            </w:pPr>
          </w:p>
        </w:tc>
        <w:tc>
          <w:tcPr>
            <w:tcW w:w="0" w:type="auto"/>
          </w:tcPr>
          <w:p w14:paraId="4E9DFCFC">
            <w:pPr>
              <w:pStyle w:val="57"/>
            </w:pPr>
          </w:p>
        </w:tc>
        <w:tc>
          <w:tcPr>
            <w:tcW w:w="0" w:type="auto"/>
          </w:tcPr>
          <w:p w14:paraId="1DFF34DA">
            <w:pPr>
              <w:pStyle w:val="57"/>
            </w:pPr>
          </w:p>
        </w:tc>
        <w:tc>
          <w:tcPr>
            <w:tcW w:w="0" w:type="auto"/>
          </w:tcPr>
          <w:p w14:paraId="629B58D9">
            <w:pPr>
              <w:pStyle w:val="57"/>
            </w:pPr>
          </w:p>
        </w:tc>
        <w:tc>
          <w:tcPr>
            <w:tcW w:w="0" w:type="auto"/>
          </w:tcPr>
          <w:p w14:paraId="7CAC6BDF">
            <w:pPr>
              <w:pStyle w:val="57"/>
            </w:pPr>
          </w:p>
        </w:tc>
      </w:tr>
    </w:tbl>
    <w:p w14:paraId="634CA50D">
      <w:pPr>
        <w:ind w:right="-99"/>
        <w:rPr>
          <w:b/>
        </w:rPr>
      </w:pPr>
    </w:p>
    <w:p w14:paraId="0E64D64B">
      <w:pPr>
        <w:pStyle w:val="2"/>
        <w:rPr>
          <w:sz w:val="32"/>
          <w:szCs w:val="32"/>
        </w:rPr>
      </w:pPr>
      <w:r>
        <w:rPr>
          <w:sz w:val="32"/>
          <w:szCs w:val="32"/>
        </w:rPr>
        <w:t>2</w:t>
      </w:r>
      <w:r>
        <w:rPr>
          <w:sz w:val="32"/>
          <w:szCs w:val="32"/>
        </w:rPr>
        <w:tab/>
      </w:r>
      <w:r>
        <w:rPr>
          <w:sz w:val="32"/>
          <w:szCs w:val="32"/>
        </w:rPr>
        <w:t>Classification of the Work Item and linked work items</w:t>
      </w:r>
    </w:p>
    <w:p w14:paraId="4D7DA44E">
      <w:pPr>
        <w:pStyle w:val="4"/>
      </w:pPr>
      <w:r>
        <w:t>2.1</w:t>
      </w:r>
      <w:r>
        <w:tab/>
      </w:r>
      <w:r>
        <w:t>Primary classification</w:t>
      </w:r>
    </w:p>
    <w:p w14:paraId="681532DA">
      <w:pPr>
        <w:pStyle w:val="90"/>
        <w:spacing w:before="0" w:beforeAutospacing="0" w:after="0" w:afterAutospacing="0"/>
      </w:pPr>
      <w:r>
        <w:t xml:space="preserve">This description is a </w:t>
      </w:r>
    </w:p>
    <w:p w14:paraId="104CD254">
      <w:pPr>
        <w:pStyle w:val="90"/>
        <w:spacing w:before="0" w:beforeAutospacing="0" w:after="0" w:afterAutospacing="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23E3E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E2DA107">
            <w:pPr>
              <w:pStyle w:val="56"/>
              <w:ind w:right="-99"/>
              <w:jc w:val="left"/>
              <w:rPr>
                <w:sz w:val="20"/>
              </w:rPr>
            </w:pPr>
            <w:r>
              <w:rPr>
                <w:sz w:val="20"/>
              </w:rPr>
              <w:t>Normative Work Item:</w:t>
            </w:r>
          </w:p>
          <w:p w14:paraId="67877271">
            <w:pPr>
              <w:pStyle w:val="56"/>
              <w:ind w:right="-99"/>
              <w:jc w:val="left"/>
              <w:rPr>
                <w:b w:val="0"/>
                <w:bCs/>
                <w:i/>
                <w:iCs/>
                <w:sz w:val="20"/>
              </w:rPr>
            </w:pPr>
            <w:r>
              <w:rPr>
                <w:b w:val="0"/>
                <w:bCs/>
                <w:i/>
                <w:iCs/>
                <w:sz w:val="20"/>
              </w:rPr>
              <w:t>tick applicable boxes below</w:t>
            </w:r>
          </w:p>
        </w:tc>
      </w:tr>
      <w:tr w14:paraId="2061F8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8E812D8">
            <w:pPr>
              <w:pStyle w:val="57"/>
            </w:pPr>
          </w:p>
        </w:tc>
        <w:tc>
          <w:tcPr>
            <w:tcW w:w="2917" w:type="dxa"/>
            <w:shd w:val="clear" w:color="auto" w:fill="E0E0E0"/>
          </w:tcPr>
          <w:p w14:paraId="3A27B545">
            <w:pPr>
              <w:pStyle w:val="56"/>
              <w:ind w:right="-99"/>
              <w:jc w:val="left"/>
              <w:rPr>
                <w:b w:val="0"/>
                <w:bCs/>
              </w:rPr>
            </w:pPr>
            <w:r>
              <w:rPr>
                <w:b w:val="0"/>
                <w:bCs/>
                <w:sz w:val="20"/>
              </w:rPr>
              <w:t>Stage 1</w:t>
            </w:r>
          </w:p>
        </w:tc>
      </w:tr>
      <w:tr w14:paraId="720557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99576EC">
            <w:pPr>
              <w:pStyle w:val="57"/>
            </w:pPr>
          </w:p>
        </w:tc>
        <w:tc>
          <w:tcPr>
            <w:tcW w:w="2917" w:type="dxa"/>
            <w:shd w:val="clear" w:color="auto" w:fill="E0E0E0"/>
          </w:tcPr>
          <w:p w14:paraId="26003BDD">
            <w:pPr>
              <w:pStyle w:val="56"/>
              <w:ind w:right="-99"/>
              <w:jc w:val="left"/>
              <w:rPr>
                <w:b w:val="0"/>
                <w:bCs/>
              </w:rPr>
            </w:pPr>
            <w:r>
              <w:rPr>
                <w:b w:val="0"/>
                <w:bCs/>
                <w:sz w:val="20"/>
              </w:rPr>
              <w:t>Stage 2</w:t>
            </w:r>
          </w:p>
        </w:tc>
      </w:tr>
      <w:tr w14:paraId="2E01F6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520D626B">
            <w:pPr>
              <w:pStyle w:val="57"/>
            </w:pPr>
          </w:p>
        </w:tc>
        <w:tc>
          <w:tcPr>
            <w:tcW w:w="2917" w:type="dxa"/>
            <w:shd w:val="clear" w:color="auto" w:fill="E0E0E0"/>
          </w:tcPr>
          <w:p w14:paraId="66859715">
            <w:pPr>
              <w:pStyle w:val="56"/>
              <w:ind w:right="-99"/>
              <w:jc w:val="left"/>
              <w:rPr>
                <w:b w:val="0"/>
                <w:bCs/>
              </w:rPr>
            </w:pPr>
            <w:r>
              <w:rPr>
                <w:b w:val="0"/>
                <w:bCs/>
                <w:sz w:val="20"/>
              </w:rPr>
              <w:t>Stage 3</w:t>
            </w:r>
          </w:p>
        </w:tc>
      </w:tr>
      <w:tr w14:paraId="27647B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1C516F4A">
            <w:pPr>
              <w:pStyle w:val="57"/>
            </w:pPr>
            <w:r>
              <w:rPr>
                <w:rFonts w:hint="eastAsia"/>
              </w:rPr>
              <w:t>X</w:t>
            </w:r>
          </w:p>
        </w:tc>
        <w:tc>
          <w:tcPr>
            <w:tcW w:w="2917" w:type="dxa"/>
            <w:shd w:val="clear" w:color="auto" w:fill="E0E0E0"/>
          </w:tcPr>
          <w:p w14:paraId="7B272286">
            <w:pPr>
              <w:pStyle w:val="56"/>
              <w:ind w:right="-99"/>
              <w:jc w:val="left"/>
              <w:rPr>
                <w:b w:val="0"/>
                <w:bCs/>
              </w:rPr>
            </w:pPr>
            <w:r>
              <w:rPr>
                <w:b w:val="0"/>
                <w:bCs/>
                <w:sz w:val="20"/>
              </w:rPr>
              <w:t>Other (e.g. testing)</w:t>
            </w:r>
          </w:p>
        </w:tc>
      </w:tr>
    </w:tbl>
    <w:p w14:paraId="54D610A3">
      <w:pPr>
        <w:ind w:right="-99"/>
        <w:rPr>
          <w:b/>
        </w:rPr>
      </w:pPr>
    </w:p>
    <w:p w14:paraId="33492C42">
      <w:pPr>
        <w:pStyle w:val="4"/>
      </w:pPr>
      <w:r>
        <w:t>2.2</w:t>
      </w:r>
      <w:r>
        <w:tab/>
      </w:r>
      <w:r>
        <w:t>Parent Work Item</w:t>
      </w:r>
    </w:p>
    <w:p w14:paraId="1933C129">
      <w:r>
        <w:t>The following lists of RAN4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3E8448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1860BEC">
            <w:pPr>
              <w:pStyle w:val="56"/>
              <w:ind w:right="-99"/>
              <w:jc w:val="left"/>
            </w:pPr>
            <w:r>
              <w:t xml:space="preserve">Parent Work / Study Items </w:t>
            </w:r>
          </w:p>
        </w:tc>
      </w:tr>
      <w:tr w14:paraId="6233C8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73D4D8A0">
            <w:pPr>
              <w:pStyle w:val="56"/>
              <w:ind w:right="-99"/>
              <w:jc w:val="left"/>
            </w:pPr>
            <w:r>
              <w:t>Acronym</w:t>
            </w:r>
          </w:p>
        </w:tc>
        <w:tc>
          <w:tcPr>
            <w:tcW w:w="992" w:type="dxa"/>
            <w:shd w:val="clear" w:color="auto" w:fill="E0E0E0"/>
          </w:tcPr>
          <w:p w14:paraId="47876B5C">
            <w:pPr>
              <w:pStyle w:val="56"/>
              <w:ind w:right="-99"/>
              <w:jc w:val="left"/>
            </w:pPr>
            <w:r>
              <w:t>Working Group</w:t>
            </w:r>
          </w:p>
        </w:tc>
        <w:tc>
          <w:tcPr>
            <w:tcW w:w="1276" w:type="dxa"/>
            <w:shd w:val="clear" w:color="auto" w:fill="E0E0E0"/>
          </w:tcPr>
          <w:p w14:paraId="312E7E5E">
            <w:pPr>
              <w:pStyle w:val="56"/>
              <w:ind w:right="-99"/>
              <w:jc w:val="left"/>
            </w:pPr>
            <w:r>
              <w:t>Unique ID</w:t>
            </w:r>
          </w:p>
        </w:tc>
        <w:tc>
          <w:tcPr>
            <w:tcW w:w="6378" w:type="dxa"/>
            <w:shd w:val="clear" w:color="auto" w:fill="E0E0E0"/>
          </w:tcPr>
          <w:p w14:paraId="5FB29CBC">
            <w:pPr>
              <w:pStyle w:val="56"/>
              <w:ind w:right="-99"/>
              <w:jc w:val="left"/>
            </w:pPr>
            <w:r>
              <w:t>Title (as in 3GPP Work Plan)</w:t>
            </w:r>
          </w:p>
        </w:tc>
      </w:tr>
      <w:tr w14:paraId="488AD3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7792D45D">
            <w:pPr>
              <w:pStyle w:val="53"/>
            </w:pPr>
            <w:r>
              <w:rPr>
                <w:rFonts w:hint="eastAsia"/>
              </w:rPr>
              <w:t>Ambient_IoT_Solutions</w:t>
            </w:r>
          </w:p>
        </w:tc>
        <w:tc>
          <w:tcPr>
            <w:tcW w:w="992" w:type="dxa"/>
          </w:tcPr>
          <w:p w14:paraId="56E9DD35">
            <w:pPr>
              <w:pStyle w:val="53"/>
              <w:rPr>
                <w:rFonts w:eastAsia="宋体"/>
              </w:rPr>
            </w:pPr>
            <w:r>
              <w:rPr>
                <w:rFonts w:hint="eastAsia"/>
              </w:rPr>
              <w:t>R</w:t>
            </w:r>
            <w:r>
              <w:rPr>
                <w:rFonts w:hint="eastAsia"/>
                <w:lang w:val="en-US"/>
              </w:rPr>
              <w:t>1, R2, R4</w:t>
            </w:r>
          </w:p>
        </w:tc>
        <w:tc>
          <w:tcPr>
            <w:tcW w:w="1276" w:type="dxa"/>
          </w:tcPr>
          <w:p w14:paraId="64D829F8">
            <w:pPr>
              <w:pStyle w:val="53"/>
              <w:rPr>
                <w:lang w:val="en-US"/>
              </w:rPr>
            </w:pPr>
            <w:r>
              <w:rPr>
                <w:rFonts w:hint="eastAsia"/>
              </w:rPr>
              <w:t>1060084</w:t>
            </w:r>
          </w:p>
        </w:tc>
        <w:tc>
          <w:tcPr>
            <w:tcW w:w="6378" w:type="dxa"/>
          </w:tcPr>
          <w:p w14:paraId="53CF08A0">
            <w:pPr>
              <w:pStyle w:val="53"/>
            </w:pPr>
            <w:r>
              <w:rPr>
                <w:rFonts w:hint="eastAsia"/>
              </w:rPr>
              <w:t xml:space="preserve">Solutions for Ambient IoT (Internet of Things) in NR </w:t>
            </w:r>
          </w:p>
        </w:tc>
      </w:tr>
      <w:tr w14:paraId="4FBE78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0EBDB48">
            <w:pPr>
              <w:pStyle w:val="53"/>
            </w:pPr>
            <w:r>
              <w:rPr>
                <w:rFonts w:hint="eastAsia"/>
              </w:rPr>
              <w:t>Ambient_IoT_Solutions-Core</w:t>
            </w:r>
          </w:p>
        </w:tc>
        <w:tc>
          <w:tcPr>
            <w:tcW w:w="992" w:type="dxa"/>
          </w:tcPr>
          <w:p w14:paraId="4348060A">
            <w:pPr>
              <w:pStyle w:val="53"/>
              <w:rPr>
                <w:rFonts w:eastAsia="宋体"/>
                <w:lang w:val="en-US"/>
              </w:rPr>
            </w:pPr>
            <w:r>
              <w:rPr>
                <w:rFonts w:hint="eastAsia"/>
              </w:rPr>
              <w:t>R</w:t>
            </w:r>
            <w:r>
              <w:rPr>
                <w:rFonts w:hint="eastAsia"/>
                <w:lang w:val="en-US"/>
              </w:rPr>
              <w:t>1, R2, R4</w:t>
            </w:r>
          </w:p>
        </w:tc>
        <w:tc>
          <w:tcPr>
            <w:tcW w:w="1276" w:type="dxa"/>
          </w:tcPr>
          <w:p w14:paraId="3D1C7FE8">
            <w:pPr>
              <w:pStyle w:val="53"/>
              <w:rPr>
                <w:lang w:val="en-US"/>
              </w:rPr>
            </w:pPr>
            <w:r>
              <w:rPr>
                <w:rFonts w:hint="eastAsia"/>
              </w:rPr>
              <w:t>1061084</w:t>
            </w:r>
          </w:p>
        </w:tc>
        <w:tc>
          <w:tcPr>
            <w:tcW w:w="6378" w:type="dxa"/>
          </w:tcPr>
          <w:p w14:paraId="0963ABB2">
            <w:pPr>
              <w:pStyle w:val="53"/>
            </w:pPr>
            <w:r>
              <w:rPr>
                <w:rFonts w:hint="eastAsia"/>
              </w:rPr>
              <w:t>Core part: Solutions for Ambient IoT (Internet of Things) in NR</w:t>
            </w:r>
          </w:p>
        </w:tc>
      </w:tr>
      <w:tr w14:paraId="647C0F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D738699">
            <w:pPr>
              <w:pStyle w:val="53"/>
              <w:rPr>
                <w:rFonts w:hint="eastAsia"/>
              </w:rPr>
            </w:pPr>
            <w:r>
              <w:rPr>
                <w:rFonts w:hint="eastAsia"/>
              </w:rPr>
              <w:t>Ambient_IoT_Solutions-Perf</w:t>
            </w:r>
          </w:p>
        </w:tc>
        <w:tc>
          <w:tcPr>
            <w:tcW w:w="992" w:type="dxa"/>
          </w:tcPr>
          <w:p w14:paraId="45F93265">
            <w:pPr>
              <w:pStyle w:val="53"/>
              <w:rPr>
                <w:rFonts w:hint="eastAsia"/>
              </w:rPr>
            </w:pPr>
            <w:r>
              <w:rPr>
                <w:rFonts w:hint="eastAsia"/>
                <w:lang w:val="en-US"/>
              </w:rPr>
              <w:t>R4</w:t>
            </w:r>
          </w:p>
        </w:tc>
        <w:tc>
          <w:tcPr>
            <w:tcW w:w="1276" w:type="dxa"/>
          </w:tcPr>
          <w:p w14:paraId="2ADBD3CF">
            <w:pPr>
              <w:pStyle w:val="53"/>
              <w:rPr>
                <w:rFonts w:hint="eastAsia"/>
              </w:rPr>
            </w:pPr>
            <w:r>
              <w:rPr>
                <w:rFonts w:hint="eastAsia"/>
              </w:rPr>
              <w:t>106</w:t>
            </w:r>
            <w:r>
              <w:rPr>
                <w:rFonts w:hint="eastAsia" w:eastAsia="宋体"/>
                <w:lang w:val="en-US" w:eastAsia="zh-CN"/>
              </w:rPr>
              <w:t>2</w:t>
            </w:r>
            <w:r>
              <w:rPr>
                <w:rFonts w:hint="eastAsia"/>
              </w:rPr>
              <w:t>084</w:t>
            </w:r>
          </w:p>
        </w:tc>
        <w:tc>
          <w:tcPr>
            <w:tcW w:w="6378" w:type="dxa"/>
          </w:tcPr>
          <w:p w14:paraId="2EFAA3BA">
            <w:pPr>
              <w:pStyle w:val="53"/>
              <w:rPr>
                <w:rFonts w:hint="eastAsia"/>
              </w:rPr>
            </w:pPr>
            <w:r>
              <w:rPr>
                <w:rFonts w:hint="eastAsia"/>
              </w:rPr>
              <w:t>Perf. part: Solutions for Ambient IoT (Internet of Things) in NR</w:t>
            </w:r>
          </w:p>
        </w:tc>
      </w:tr>
    </w:tbl>
    <w:p w14:paraId="6AEB2FE8">
      <w:pPr>
        <w:ind w:right="-99"/>
        <w:rPr>
          <w:b/>
        </w:rPr>
      </w:pPr>
    </w:p>
    <w:p w14:paraId="654B9F36">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105BC3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2127D67A">
            <w:pPr>
              <w:pStyle w:val="56"/>
              <w:ind w:right="-99"/>
              <w:jc w:val="left"/>
            </w:pPr>
            <w:r>
              <w:t>Other related Work/Study Items (if any)</w:t>
            </w:r>
          </w:p>
        </w:tc>
      </w:tr>
      <w:tr w14:paraId="6EE87D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2B66681A">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12B465F2">
            <w:pPr>
              <w:pStyle w:val="56"/>
              <w:ind w:right="-99"/>
              <w:jc w:val="left"/>
            </w:pPr>
            <w:r>
              <w:t>Unique ID</w:t>
            </w:r>
          </w:p>
        </w:tc>
        <w:tc>
          <w:tcPr>
            <w:tcW w:w="3402" w:type="dxa"/>
            <w:shd w:val="clear" w:color="auto" w:fill="E0E0E0"/>
          </w:tcPr>
          <w:p w14:paraId="2DB7A6BE">
            <w:pPr>
              <w:pStyle w:val="56"/>
              <w:ind w:right="-99"/>
              <w:jc w:val="left"/>
            </w:pPr>
            <w:r>
              <w:t>Title</w:t>
            </w:r>
          </w:p>
        </w:tc>
        <w:tc>
          <w:tcPr>
            <w:tcW w:w="4536" w:type="dxa"/>
            <w:shd w:val="clear" w:color="auto" w:fill="E0E0E0"/>
          </w:tcPr>
          <w:p w14:paraId="798498D8">
            <w:pPr>
              <w:pStyle w:val="56"/>
              <w:ind w:right="-99"/>
              <w:jc w:val="left"/>
            </w:pPr>
            <w:r>
              <w:t>Nature of relationship</w:t>
            </w:r>
          </w:p>
        </w:tc>
      </w:tr>
      <w:tr w14:paraId="138C24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14:paraId="682EC12A">
            <w:pPr>
              <w:pStyle w:val="53"/>
            </w:pPr>
          </w:p>
        </w:tc>
        <w:tc>
          <w:tcPr>
            <w:tcW w:w="1134" w:type="dxa"/>
          </w:tcPr>
          <w:p w14:paraId="64B5622A">
            <w:pPr>
              <w:pStyle w:val="53"/>
            </w:pPr>
          </w:p>
        </w:tc>
        <w:tc>
          <w:tcPr>
            <w:tcW w:w="3402" w:type="dxa"/>
          </w:tcPr>
          <w:p w14:paraId="1D83D368">
            <w:pPr>
              <w:pStyle w:val="53"/>
            </w:pPr>
          </w:p>
        </w:tc>
        <w:tc>
          <w:tcPr>
            <w:tcW w:w="4536" w:type="dxa"/>
          </w:tcPr>
          <w:p w14:paraId="6551F0B4">
            <w:pPr>
              <w:pStyle w:val="90"/>
            </w:pPr>
            <w:r>
              <w:rPr>
                <w:i/>
                <w:sz w:val="20"/>
              </w:rPr>
              <w:t xml:space="preserve">{optional free text} </w:t>
            </w:r>
          </w:p>
        </w:tc>
      </w:tr>
    </w:tbl>
    <w:p w14:paraId="026F660B">
      <w:pPr>
        <w:rPr>
          <w:i/>
        </w:rPr>
      </w:pPr>
    </w:p>
    <w:p w14:paraId="06AA5E1C">
      <w:pPr>
        <w:pStyle w:val="2"/>
        <w:rPr>
          <w:sz w:val="32"/>
          <w:szCs w:val="32"/>
        </w:rPr>
      </w:pPr>
      <w:r>
        <w:rPr>
          <w:sz w:val="32"/>
          <w:szCs w:val="32"/>
        </w:rPr>
        <w:t>3</w:t>
      </w:r>
      <w:r>
        <w:rPr>
          <w:sz w:val="32"/>
          <w:szCs w:val="32"/>
        </w:rPr>
        <w:tab/>
      </w:r>
      <w:r>
        <w:rPr>
          <w:sz w:val="32"/>
          <w:szCs w:val="32"/>
        </w:rPr>
        <w:t>Justification</w:t>
      </w:r>
    </w:p>
    <w:p w14:paraId="50E90ECC">
      <w:pPr>
        <w:spacing w:before="120" w:beforeLines="50"/>
        <w:jc w:val="both"/>
        <w:rPr>
          <w:rFonts w:eastAsia="MS Mincho"/>
          <w:lang w:val="en-US"/>
        </w:rPr>
      </w:pPr>
      <w:r>
        <w:rPr>
          <w:rFonts w:eastAsia="MS Mincho"/>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17E9828B">
      <w:pPr>
        <w:spacing w:before="120" w:beforeLines="50"/>
        <w:jc w:val="both"/>
        <w:rPr>
          <w:rFonts w:eastAsia="MS Mincho"/>
        </w:rPr>
      </w:pPr>
      <w:bookmarkStart w:id="2" w:name="_Hlk88813982"/>
      <w:r>
        <w:rPr>
          <w:rFonts w:eastAsia="MS Mincho"/>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lang w:eastAsia="en-US"/>
        </w:rPr>
        <w:t>with no energy storage capability</w:t>
      </w:r>
      <w:r>
        <w:rPr>
          <w:rFonts w:eastAsia="MS Mincho"/>
          <w:lang w:val="en-US"/>
        </w:rPr>
        <w:t xml:space="preserve"> or devices with energy storage that do not need to be replaced or recharged manually. The form factor of such devices must be reasonably small </w:t>
      </w:r>
      <w:r>
        <w:rPr>
          <w:rFonts w:hint="eastAsia" w:eastAsia="宋体"/>
          <w:lang w:val="en-US"/>
        </w:rPr>
        <w:t>t</w:t>
      </w:r>
      <w:r>
        <w:rPr>
          <w:rFonts w:eastAsia="宋体"/>
          <w:lang w:val="en-US"/>
        </w:rPr>
        <w:t>o convey the validity of target use cases</w:t>
      </w:r>
      <w:r>
        <w:rPr>
          <w:rFonts w:eastAsia="MS Mincho"/>
          <w:lang w:val="en-US"/>
        </w:rPr>
        <w:t xml:space="preserve">. </w:t>
      </w:r>
      <w:bookmarkEnd w:id="2"/>
    </w:p>
    <w:p w14:paraId="7441BBE6">
      <w:pPr>
        <w:spacing w:before="120" w:beforeLines="50"/>
        <w:jc w:val="both"/>
        <w:rPr>
          <w:lang w:eastAsia="en-US"/>
        </w:rPr>
      </w:pPr>
      <w:r>
        <w:rPr>
          <w:rFonts w:eastAsia="MS Mincho"/>
          <w:lang w:val="en-US"/>
        </w:rPr>
        <w:t xml:space="preserve">TR 22.840 and TS 22.369 have been developed by SA1 to capture </w:t>
      </w:r>
      <w:r>
        <w:rPr>
          <w:lang w:eastAsia="en-US"/>
        </w:rPr>
        <w:t xml:space="preserve">use cases, traffic scenarios, device constraints of ambient power-enabled Internet of Things and identify new potential service requirements as well as new KPIs. </w:t>
      </w:r>
      <w:r>
        <w:rPr>
          <w:rFonts w:eastAsia="宋体"/>
          <w:bCs/>
        </w:rPr>
        <w:t>SA1 considered devices being either battery-less or with limited energy storage capability (i.e., using a capacitor)</w:t>
      </w:r>
      <w:r>
        <w:rPr>
          <w:lang w:eastAsia="en-US"/>
        </w:rPr>
        <w:t xml:space="preserve"> and the energy is provided through the harvesting of radio waves, light, motion, heat, or any other power source that could be seen suitable.</w:t>
      </w:r>
    </w:p>
    <w:p w14:paraId="18D2699B">
      <w:pPr>
        <w:spacing w:before="120" w:beforeLines="50"/>
        <w:jc w:val="both"/>
        <w:rPr>
          <w:rFonts w:eastAsia="MS Mincho"/>
          <w:lang w:val="en-US"/>
        </w:rPr>
      </w:pPr>
      <w:r>
        <w:rPr>
          <w:rFonts w:eastAsia="MS Mincho"/>
        </w:rPr>
        <w:t xml:space="preserve">Considering the limited size and complexity required by practical applications for batteryless devices </w:t>
      </w:r>
      <w:r>
        <w:rPr>
          <w:rFonts w:eastAsia="MS Mincho"/>
          <w:lang w:eastAsia="en-US"/>
        </w:rPr>
        <w:t>with no energy storage capability</w:t>
      </w:r>
      <w:r>
        <w:rPr>
          <w:rFonts w:eastAsia="MS Mincho"/>
        </w:rPr>
        <w:t xml:space="preserve"> or devices with limited </w:t>
      </w:r>
      <w:r>
        <w:rPr>
          <w:rFonts w:eastAsia="MS Mincho"/>
          <w:lang w:val="en-US"/>
        </w:rPr>
        <w:t>energy storage</w:t>
      </w:r>
      <w:r>
        <w:rPr>
          <w:rFonts w:eastAsia="MS Mincho"/>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5B2A2D4F">
      <w:pPr>
        <w:spacing w:before="120" w:beforeLines="50"/>
        <w:jc w:val="both"/>
        <w:rPr>
          <w:rFonts w:eastAsia="MS Mincho"/>
          <w:lang w:val="en-US"/>
        </w:rPr>
      </w:pPr>
      <w:r>
        <w:rPr>
          <w:rFonts w:eastAsia="MS Mincho"/>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rPr>
        <w:t xml:space="preserve">he lack of interference management scheme results in severe interference between RFID readers and capacity problems, especially in case of dense deployment. It is hard to support large-scale network with seamless coverage for RFID. </w:t>
      </w:r>
    </w:p>
    <w:p w14:paraId="7C190CE8">
      <w:pPr>
        <w:spacing w:before="120" w:beforeLines="50"/>
        <w:jc w:val="both"/>
        <w:rPr>
          <w:rFonts w:eastAsia="MS Mincho"/>
          <w:lang w:val="en-US"/>
        </w:rPr>
      </w:pPr>
      <w:r>
        <w:rPr>
          <w:rFonts w:eastAsia="MS Mincho"/>
          <w:lang w:val="en-US"/>
        </w:rPr>
        <w:t xml:space="preserve">TSG RAN has completed a Rel-18 RAN-level SI on Ambient IoT, which provides a terminological and scoping framework for future discussions of Ambient IoT. This has defined representative use cases, deployment scenarios, connectivity topologies, Ambient IoT devices, design targets, and required functionalities. For selected options among those, RAN WGs have completed a Rel-19 SI on solutions for Ambient IoT, reported in TR 38.769, which explored more-detailed radio aspects. </w:t>
      </w:r>
    </w:p>
    <w:p w14:paraId="68111EFC">
      <w:pPr>
        <w:spacing w:before="120" w:beforeLines="50"/>
        <w:jc w:val="both"/>
        <w:rPr>
          <w:kern w:val="2"/>
          <w:lang w:val="en-US"/>
        </w:rPr>
      </w:pPr>
      <w:r>
        <w:rPr>
          <w:rFonts w:eastAsia="MS Mincho"/>
          <w:lang w:val="en-US"/>
        </w:rPr>
        <w:t xml:space="preserve">Following those study items, RAN WGs </w:t>
      </w:r>
      <w:r>
        <w:rPr>
          <w:rFonts w:hint="eastAsia" w:eastAsia="MS Mincho"/>
          <w:lang w:val="en-US"/>
        </w:rPr>
        <w:t xml:space="preserve">have set up a Rel-19 WI on solutions for Ambient IoT (Internet of Things) in NR (Ambient_IoT_Solutions) at RP#106 (December 2024) to introduce </w:t>
      </w:r>
      <w:r>
        <w:rPr>
          <w:rFonts w:eastAsia="宋体"/>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lang w:eastAsia="en-US"/>
        </w:rPr>
        <w:t xml:space="preserve">address use cases and scenarios that </w:t>
      </w:r>
      <w:r>
        <w:rPr>
          <w:rFonts w:eastAsia="MS Mincho"/>
          <w:bCs/>
          <w:i/>
          <w:iCs/>
          <w:lang w:eastAsia="en-US"/>
        </w:rPr>
        <w:t>cannot</w:t>
      </w:r>
      <w:r>
        <w:rPr>
          <w:rFonts w:eastAsia="MS Mincho"/>
          <w:bCs/>
          <w:lang w:eastAsia="en-US"/>
        </w:rPr>
        <w:t xml:space="preserve"> otherwise be fulfilled based on existing 3GPP LPWA IoT technologies</w:t>
      </w:r>
      <w:r>
        <w:rPr>
          <w:rFonts w:eastAsia="宋体"/>
          <w:lang w:val="en-US"/>
        </w:rPr>
        <w:t>.</w:t>
      </w:r>
    </w:p>
    <w:p w14:paraId="73DE8961">
      <w:pPr>
        <w:rPr>
          <w:kern w:val="2"/>
          <w:lang w:val="en-US"/>
        </w:rPr>
      </w:pPr>
      <w:r>
        <w:rPr>
          <w:rFonts w:hint="eastAsia"/>
          <w:kern w:val="2"/>
          <w:lang w:val="en-US"/>
        </w:rPr>
        <w:t xml:space="preserve">For the Rel-19 RAN work item </w:t>
      </w:r>
      <w:r>
        <w:rPr>
          <w:rFonts w:hint="eastAsia" w:eastAsia="MS Mincho"/>
          <w:lang w:val="en-US"/>
        </w:rPr>
        <w:t>Ambient_IoT_Solutions</w:t>
      </w:r>
      <w:r>
        <w:rPr>
          <w:rFonts w:hint="eastAsia"/>
          <w:kern w:val="2"/>
          <w:lang w:val="en-US"/>
        </w:rPr>
        <w:t xml:space="preserve">, the overall completion level for core part has reached 84% after RP#108 (June 2025) and will be completed after RP#109 (September 2025).Therefore it is </w:t>
      </w:r>
      <w:r>
        <w:rPr>
          <w:kern w:val="2"/>
          <w:lang w:val="en-US"/>
        </w:rPr>
        <w:t>justified to introduce the conformance testing for</w:t>
      </w:r>
      <w:r>
        <w:rPr>
          <w:rFonts w:hint="eastAsia"/>
          <w:kern w:val="2"/>
          <w:lang w:val="en-US"/>
        </w:rPr>
        <w:t xml:space="preserve"> NR</w:t>
      </w:r>
      <w:r>
        <w:rPr>
          <w:kern w:val="2"/>
          <w:lang w:val="en-US"/>
        </w:rPr>
        <w:t xml:space="preserve"> </w:t>
      </w:r>
      <w:r>
        <w:rPr>
          <w:rFonts w:hint="eastAsia"/>
          <w:kern w:val="2"/>
          <w:lang w:val="en-US"/>
        </w:rPr>
        <w:t>Ambient IoT</w:t>
      </w:r>
      <w:r>
        <w:rPr>
          <w:kern w:val="2"/>
          <w:lang w:val="en-US"/>
        </w:rPr>
        <w:t xml:space="preserve"> </w:t>
      </w:r>
      <w:r>
        <w:rPr>
          <w:rFonts w:hint="eastAsia"/>
          <w:kern w:val="2"/>
          <w:lang w:val="en-US"/>
        </w:rPr>
        <w:t xml:space="preserve">device </w:t>
      </w:r>
      <w:r>
        <w:rPr>
          <w:kern w:val="2"/>
          <w:lang w:val="en-US"/>
        </w:rPr>
        <w:t>into RAN5 specification</w:t>
      </w:r>
      <w:r>
        <w:rPr>
          <w:rFonts w:hint="eastAsia"/>
          <w:kern w:val="2"/>
          <w:lang w:val="en-US"/>
        </w:rPr>
        <w:t>s</w:t>
      </w:r>
      <w:r>
        <w:rPr>
          <w:kern w:val="2"/>
          <w:lang w:val="en-US"/>
        </w:rPr>
        <w:t>.</w:t>
      </w:r>
    </w:p>
    <w:p w14:paraId="3B49344B">
      <w:pPr>
        <w:pStyle w:val="2"/>
        <w:rPr>
          <w:sz w:val="32"/>
          <w:szCs w:val="32"/>
        </w:rPr>
      </w:pPr>
      <w:r>
        <w:rPr>
          <w:sz w:val="32"/>
          <w:szCs w:val="32"/>
        </w:rPr>
        <w:t>4</w:t>
      </w:r>
      <w:r>
        <w:rPr>
          <w:sz w:val="32"/>
          <w:szCs w:val="32"/>
        </w:rPr>
        <w:tab/>
      </w:r>
      <w:r>
        <w:rPr>
          <w:sz w:val="32"/>
          <w:szCs w:val="32"/>
        </w:rPr>
        <w:t>Objective</w:t>
      </w:r>
    </w:p>
    <w:p w14:paraId="0267E403">
      <w:pPr>
        <w:pStyle w:val="4"/>
        <w:rPr>
          <w:color w:val="0000FF"/>
        </w:rPr>
      </w:pPr>
      <w:r>
        <w:rPr>
          <w:color w:val="0000FF"/>
        </w:rPr>
        <w:t>4.1</w:t>
      </w:r>
      <w:r>
        <w:rPr>
          <w:color w:val="0000FF"/>
        </w:rPr>
        <w:tab/>
      </w:r>
      <w:r>
        <w:rPr>
          <w:color w:val="0000FF"/>
        </w:rPr>
        <w:t>Objective of SI or Core part WI or Testing part WI</w:t>
      </w:r>
    </w:p>
    <w:p w14:paraId="66A2F47F">
      <w:pPr>
        <w:spacing w:after="0"/>
        <w:rPr>
          <w:bCs/>
        </w:rPr>
      </w:pPr>
      <w:r>
        <w:rPr>
          <w:kern w:val="2"/>
          <w:lang w:val="en-US"/>
        </w:rPr>
        <w:t>The objective of this RAN5 work item is to define the corresponding</w:t>
      </w:r>
      <w:r>
        <w:rPr>
          <w:rFonts w:hint="eastAsia"/>
          <w:kern w:val="2"/>
          <w:lang w:val="en-US"/>
        </w:rPr>
        <w:t xml:space="preserve"> NR</w:t>
      </w:r>
      <w:r>
        <w:rPr>
          <w:kern w:val="2"/>
          <w:lang w:val="en-US"/>
        </w:rPr>
        <w:t xml:space="preserve"> </w:t>
      </w:r>
      <w:r>
        <w:rPr>
          <w:rFonts w:hint="eastAsia"/>
          <w:kern w:val="2"/>
          <w:lang w:val="en-US"/>
        </w:rPr>
        <w:t>Ambient IoT</w:t>
      </w:r>
      <w:r>
        <w:rPr>
          <w:kern w:val="2"/>
          <w:lang w:val="en-US"/>
        </w:rPr>
        <w:t xml:space="preserve"> </w:t>
      </w:r>
      <w:r>
        <w:rPr>
          <w:rFonts w:hint="eastAsia"/>
          <w:kern w:val="2"/>
          <w:lang w:val="en-US"/>
        </w:rPr>
        <w:t>device</w:t>
      </w:r>
      <w:r>
        <w:rPr>
          <w:kern w:val="2"/>
          <w:lang w:val="en-US"/>
        </w:rPr>
        <w:t xml:space="preserve"> conformance requirements, the test case</w:t>
      </w:r>
      <w:r>
        <w:rPr>
          <w:rFonts w:hint="eastAsia"/>
          <w:kern w:val="2"/>
          <w:lang w:val="en-US"/>
        </w:rPr>
        <w:t>s</w:t>
      </w:r>
      <w:r>
        <w:rPr>
          <w:kern w:val="2"/>
          <w:lang w:val="en-US"/>
        </w:rPr>
        <w:t xml:space="preserve">, applicability, test environment, </w:t>
      </w:r>
      <w:r>
        <w:rPr>
          <w:rFonts w:hint="eastAsia"/>
          <w:kern w:val="2"/>
          <w:lang w:val="en-US"/>
        </w:rPr>
        <w:t xml:space="preserve">test points </w:t>
      </w:r>
      <w:r>
        <w:rPr>
          <w:kern w:val="2"/>
          <w:lang w:val="en-US"/>
        </w:rPr>
        <w:t xml:space="preserve">and update the relevant conformance specifications for the </w:t>
      </w:r>
      <w:r>
        <w:rPr>
          <w:rFonts w:hint="eastAsia"/>
          <w:kern w:val="2"/>
          <w:lang w:val="en-US"/>
        </w:rPr>
        <w:t>R19 NR</w:t>
      </w:r>
      <w:r>
        <w:rPr>
          <w:kern w:val="2"/>
          <w:lang w:val="en-US"/>
        </w:rPr>
        <w:t xml:space="preserve"> </w:t>
      </w:r>
      <w:r>
        <w:rPr>
          <w:rFonts w:hint="eastAsia"/>
          <w:kern w:val="2"/>
          <w:lang w:val="en-US"/>
        </w:rPr>
        <w:t>Ambient IoT</w:t>
      </w:r>
      <w:r>
        <w:rPr>
          <w:kern w:val="2"/>
          <w:lang w:val="en-US"/>
        </w:rPr>
        <w:t xml:space="preserve"> </w:t>
      </w:r>
      <w:r>
        <w:rPr>
          <w:rFonts w:hint="eastAsia"/>
          <w:kern w:val="2"/>
          <w:lang w:val="en-US"/>
        </w:rPr>
        <w:t>device</w:t>
      </w:r>
      <w:r>
        <w:rPr>
          <w:kern w:val="2"/>
          <w:lang w:val="en-US"/>
        </w:rPr>
        <w:t xml:space="preserve"> requirements introduced by </w:t>
      </w:r>
      <w:r>
        <w:rPr>
          <w:rFonts w:hint="eastAsia"/>
          <w:kern w:val="2"/>
          <w:lang w:val="en-US"/>
        </w:rPr>
        <w:t xml:space="preserve">RAN1, RAN2 and </w:t>
      </w:r>
      <w:r>
        <w:rPr>
          <w:kern w:val="2"/>
          <w:lang w:val="en-US"/>
        </w:rPr>
        <w:t>RAN4.</w:t>
      </w:r>
    </w:p>
    <w:p w14:paraId="148A88D4">
      <w:pPr>
        <w:spacing w:after="0"/>
        <w:rPr>
          <w:bCs/>
        </w:rPr>
      </w:pPr>
    </w:p>
    <w:p w14:paraId="21AFEB95">
      <w:pPr>
        <w:pStyle w:val="4"/>
        <w:rPr>
          <w:color w:val="0000FF"/>
        </w:rPr>
      </w:pPr>
      <w:r>
        <w:rPr>
          <w:color w:val="0000FF"/>
        </w:rPr>
        <w:t>4.2</w:t>
      </w:r>
      <w:r>
        <w:rPr>
          <w:color w:val="0000FF"/>
        </w:rPr>
        <w:tab/>
      </w:r>
      <w:r>
        <w:rPr>
          <w:color w:val="0000FF"/>
        </w:rPr>
        <w:t>Objective of Performance part WI</w:t>
      </w:r>
    </w:p>
    <w:p w14:paraId="74ED804D">
      <w:pPr>
        <w:spacing w:after="0"/>
      </w:pPr>
      <w:r>
        <w:rPr>
          <w:rFonts w:hint="eastAsia"/>
        </w:rPr>
        <w:t>N</w:t>
      </w:r>
      <w:r>
        <w:t>/A</w:t>
      </w:r>
    </w:p>
    <w:p w14:paraId="56600D9F">
      <w:pPr>
        <w:pStyle w:val="4"/>
        <w:rPr>
          <w:color w:val="0000FF"/>
        </w:rPr>
      </w:pPr>
      <w:r>
        <w:rPr>
          <w:color w:val="0000FF"/>
        </w:rPr>
        <w:t>4.3</w:t>
      </w:r>
      <w:r>
        <w:rPr>
          <w:color w:val="0000FF"/>
        </w:rPr>
        <w:tab/>
      </w:r>
      <w:r>
        <w:rPr>
          <w:color w:val="0000FF"/>
        </w:rPr>
        <w:t>RAN time budget request (not applicable to RAN5 WIs/SIs)</w:t>
      </w:r>
    </w:p>
    <w:p w14:paraId="3DF76C25">
      <w:r>
        <w:rPr>
          <w:rFonts w:hint="eastAsia"/>
        </w:rPr>
        <w:t>N</w:t>
      </w:r>
      <w:r>
        <w:t>/A</w:t>
      </w:r>
    </w:p>
    <w:p w14:paraId="57FCAA0C">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022"/>
        <w:gridCol w:w="2493"/>
        <w:gridCol w:w="1035"/>
        <w:gridCol w:w="979"/>
        <w:gridCol w:w="3191"/>
      </w:tblGrid>
      <w:tr w14:paraId="1127B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131469B3">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14:paraId="73CB2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shd w:val="clear" w:color="auto" w:fill="D9D9D9"/>
            <w:tcMar>
              <w:left w:w="57" w:type="dxa"/>
              <w:right w:w="57" w:type="dxa"/>
            </w:tcMar>
            <w:vAlign w:val="center"/>
          </w:tcPr>
          <w:p w14:paraId="3C5549BB">
            <w:pPr>
              <w:spacing w:after="0"/>
              <w:ind w:right="-99"/>
              <w:rPr>
                <w:sz w:val="16"/>
                <w:szCs w:val="16"/>
              </w:rPr>
            </w:pPr>
            <w:r>
              <w:rPr>
                <w:sz w:val="16"/>
                <w:szCs w:val="16"/>
              </w:rPr>
              <w:t xml:space="preserve">Type </w:t>
            </w:r>
          </w:p>
        </w:tc>
        <w:tc>
          <w:tcPr>
            <w:tcW w:w="1022" w:type="dxa"/>
            <w:shd w:val="clear" w:color="auto" w:fill="D9D9D9"/>
            <w:tcMar>
              <w:left w:w="57" w:type="dxa"/>
              <w:right w:w="57" w:type="dxa"/>
            </w:tcMar>
            <w:vAlign w:val="center"/>
          </w:tcPr>
          <w:p w14:paraId="2EFA60A7">
            <w:pPr>
              <w:spacing w:after="0"/>
              <w:ind w:right="-99"/>
            </w:pPr>
            <w:r>
              <w:rPr>
                <w:sz w:val="16"/>
                <w:szCs w:val="16"/>
              </w:rPr>
              <w:t>TS/TR number</w:t>
            </w:r>
          </w:p>
        </w:tc>
        <w:tc>
          <w:tcPr>
            <w:tcW w:w="2493" w:type="dxa"/>
            <w:shd w:val="clear" w:color="auto" w:fill="D9D9D9"/>
            <w:tcMar>
              <w:left w:w="57" w:type="dxa"/>
              <w:right w:w="57" w:type="dxa"/>
            </w:tcMar>
            <w:vAlign w:val="center"/>
          </w:tcPr>
          <w:p w14:paraId="565AB8B7">
            <w:pPr>
              <w:spacing w:after="0"/>
              <w:ind w:right="-99"/>
              <w:rPr>
                <w:rFonts w:ascii="Arial" w:hAnsi="Arial"/>
                <w:sz w:val="16"/>
                <w:szCs w:val="16"/>
              </w:rPr>
            </w:pPr>
            <w:r>
              <w:rPr>
                <w:rFonts w:ascii="Arial" w:hAnsi="Arial"/>
                <w:sz w:val="16"/>
                <w:szCs w:val="16"/>
              </w:rPr>
              <w:t>Title</w:t>
            </w:r>
          </w:p>
        </w:tc>
        <w:tc>
          <w:tcPr>
            <w:tcW w:w="1035" w:type="dxa"/>
            <w:shd w:val="clear" w:color="auto" w:fill="D9D9D9"/>
            <w:tcMar>
              <w:left w:w="57" w:type="dxa"/>
              <w:right w:w="57" w:type="dxa"/>
            </w:tcMar>
            <w:vAlign w:val="center"/>
          </w:tcPr>
          <w:p w14:paraId="716D1A5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979" w:type="dxa"/>
            <w:shd w:val="clear" w:color="auto" w:fill="D9D9D9"/>
            <w:tcMar>
              <w:left w:w="57" w:type="dxa"/>
              <w:right w:w="57" w:type="dxa"/>
            </w:tcMar>
            <w:vAlign w:val="center"/>
          </w:tcPr>
          <w:p w14:paraId="0198A852">
            <w:pPr>
              <w:spacing w:after="0"/>
              <w:ind w:right="-99"/>
              <w:rPr>
                <w:rFonts w:ascii="Arial" w:hAnsi="Arial"/>
                <w:sz w:val="16"/>
                <w:szCs w:val="16"/>
              </w:rPr>
            </w:pPr>
            <w:r>
              <w:rPr>
                <w:rFonts w:ascii="Arial" w:hAnsi="Arial"/>
                <w:sz w:val="16"/>
                <w:szCs w:val="16"/>
              </w:rPr>
              <w:t>For approval at TSG#</w:t>
            </w:r>
          </w:p>
        </w:tc>
        <w:tc>
          <w:tcPr>
            <w:tcW w:w="3191" w:type="dxa"/>
            <w:shd w:val="clear" w:color="auto" w:fill="D9D9D9"/>
            <w:tcMar>
              <w:left w:w="57" w:type="dxa"/>
              <w:right w:w="57" w:type="dxa"/>
            </w:tcMar>
            <w:vAlign w:val="center"/>
          </w:tcPr>
          <w:p w14:paraId="587DF920">
            <w:pPr>
              <w:spacing w:after="0"/>
              <w:ind w:right="-99"/>
              <w:rPr>
                <w:rFonts w:ascii="Arial" w:hAnsi="Arial"/>
                <w:sz w:val="16"/>
                <w:szCs w:val="16"/>
              </w:rPr>
            </w:pPr>
            <w:r>
              <w:rPr>
                <w:rFonts w:ascii="Arial" w:hAnsi="Arial"/>
                <w:sz w:val="16"/>
                <w:szCs w:val="16"/>
              </w:rPr>
              <w:t>Remarks</w:t>
            </w:r>
          </w:p>
        </w:tc>
      </w:tr>
      <w:tr w14:paraId="13DD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693" w:type="dxa"/>
          </w:tcPr>
          <w:p w14:paraId="53D6EC71">
            <w:pPr>
              <w:spacing w:after="0"/>
              <w:rPr>
                <w:i/>
                <w:lang w:val="en-US"/>
              </w:rPr>
            </w:pPr>
            <w:r>
              <w:rPr>
                <w:i/>
                <w:lang w:val="en-US"/>
              </w:rPr>
              <w:t>New TS</w:t>
            </w:r>
          </w:p>
        </w:tc>
        <w:tc>
          <w:tcPr>
            <w:tcW w:w="1022" w:type="dxa"/>
          </w:tcPr>
          <w:p w14:paraId="7739814A">
            <w:pPr>
              <w:spacing w:after="0"/>
              <w:rPr>
                <w:i/>
                <w:lang w:val="en-US"/>
              </w:rPr>
            </w:pPr>
            <w:r>
              <w:rPr>
                <w:i/>
                <w:lang w:val="en-US"/>
              </w:rPr>
              <w:t>TS 38.</w:t>
            </w:r>
            <w:r>
              <w:rPr>
                <w:rFonts w:hint="eastAsia"/>
                <w:i/>
                <w:lang w:val="en-US"/>
              </w:rPr>
              <w:t>5</w:t>
            </w:r>
            <w:r>
              <w:rPr>
                <w:i/>
                <w:lang w:val="en-US"/>
              </w:rPr>
              <w:t>xx</w:t>
            </w:r>
          </w:p>
        </w:tc>
        <w:tc>
          <w:tcPr>
            <w:tcW w:w="2493" w:type="dxa"/>
          </w:tcPr>
          <w:p w14:paraId="7421F6B4">
            <w:pPr>
              <w:pStyle w:val="53"/>
              <w:rPr>
                <w:rFonts w:ascii="Times New Roman" w:hAnsi="Times New Roman"/>
                <w:i/>
                <w:lang w:val="en-US"/>
              </w:rPr>
            </w:pPr>
            <w:r>
              <w:rPr>
                <w:rFonts w:hint="eastAsia" w:ascii="Times New Roman" w:hAnsi="Times New Roman" w:eastAsia="宋体"/>
                <w:i/>
                <w:lang w:val="en-US" w:eastAsia="zh-CN"/>
              </w:rPr>
              <w:t xml:space="preserve">NR; </w:t>
            </w:r>
            <w:r>
              <w:rPr>
                <w:rFonts w:ascii="Times New Roman" w:hAnsi="Times New Roman"/>
                <w:i/>
                <w:lang w:val="en-US"/>
              </w:rPr>
              <w:t xml:space="preserve">Ambient IoT device </w:t>
            </w:r>
            <w:r>
              <w:rPr>
                <w:rFonts w:hint="eastAsia" w:ascii="Times New Roman" w:hAnsi="Times New Roman" w:eastAsia="宋体"/>
                <w:i/>
                <w:lang w:val="en-US" w:eastAsia="zh-CN"/>
              </w:rPr>
              <w:t>c</w:t>
            </w:r>
            <w:r>
              <w:rPr>
                <w:rFonts w:ascii="Times New Roman" w:hAnsi="Times New Roman"/>
                <w:i/>
                <w:lang w:val="en-US"/>
              </w:rPr>
              <w:t>onformance specification;</w:t>
            </w:r>
            <w:r>
              <w:rPr>
                <w:rFonts w:hint="eastAsia" w:ascii="Times New Roman" w:hAnsi="Times New Roman" w:eastAsia="宋体"/>
                <w:i/>
                <w:lang w:val="en-US" w:eastAsia="zh-CN"/>
              </w:rPr>
              <w:t xml:space="preserve"> Part 1: </w:t>
            </w:r>
            <w:r>
              <w:rPr>
                <w:rFonts w:ascii="Times New Roman" w:hAnsi="Times New Roman"/>
                <w:i/>
                <w:lang w:val="en-US"/>
              </w:rPr>
              <w:t>Radio transmission and reception (Release 1</w:t>
            </w:r>
            <w:r>
              <w:rPr>
                <w:rFonts w:hint="eastAsia" w:ascii="Times New Roman" w:hAnsi="Times New Roman"/>
                <w:i/>
                <w:lang w:val="en-US"/>
              </w:rPr>
              <w:t>9</w:t>
            </w:r>
            <w:r>
              <w:rPr>
                <w:rFonts w:ascii="Times New Roman" w:hAnsi="Times New Roman"/>
                <w:i/>
                <w:lang w:val="en-US"/>
              </w:rPr>
              <w:t>)</w:t>
            </w:r>
          </w:p>
        </w:tc>
        <w:tc>
          <w:tcPr>
            <w:tcW w:w="1035" w:type="dxa"/>
          </w:tcPr>
          <w:p w14:paraId="56025D49">
            <w:pPr>
              <w:pStyle w:val="53"/>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14:paraId="33C1AA23">
            <w:pPr>
              <w:pStyle w:val="53"/>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14:paraId="27A8DAC8">
            <w:pPr>
              <w:spacing w:after="0"/>
            </w:pPr>
            <w:r>
              <w:rPr>
                <w:i/>
                <w:lang w:val="en-US"/>
              </w:rPr>
              <w:t xml:space="preserve">To </w:t>
            </w:r>
            <w:r>
              <w:rPr>
                <w:rFonts w:hint="eastAsia" w:eastAsia="宋体"/>
                <w:i/>
                <w:lang w:val="en-US" w:eastAsia="zh-CN"/>
              </w:rPr>
              <w:t>specify</w:t>
            </w:r>
            <w:r>
              <w:rPr>
                <w:i/>
                <w:lang w:val="en-US"/>
              </w:rPr>
              <w:t xml:space="preserve"> RF</w:t>
            </w:r>
            <w:r>
              <w:rPr>
                <w:rFonts w:hint="eastAsia"/>
                <w:i/>
                <w:lang w:val="en-US"/>
              </w:rPr>
              <w:t xml:space="preserve"> and RRM</w:t>
            </w:r>
            <w:r>
              <w:rPr>
                <w:i/>
                <w:lang w:val="en-US"/>
              </w:rPr>
              <w:t xml:space="preserve"> conformance test cases</w:t>
            </w:r>
            <w:r>
              <w:rPr>
                <w:rFonts w:hint="eastAsia" w:eastAsia="宋体"/>
                <w:i/>
                <w:lang w:val="en-US" w:eastAsia="zh-CN"/>
              </w:rPr>
              <w:t xml:space="preserve"> as well as common environment</w:t>
            </w:r>
            <w:r>
              <w:rPr>
                <w:i/>
                <w:lang w:val="en-US"/>
              </w:rPr>
              <w:t xml:space="preserve"> for R1</w:t>
            </w:r>
            <w:r>
              <w:rPr>
                <w:rFonts w:hint="eastAsia"/>
                <w:i/>
                <w:lang w:val="en-US"/>
              </w:rPr>
              <w:t>9</w:t>
            </w:r>
            <w:r>
              <w:rPr>
                <w:i/>
                <w:lang w:val="en-US"/>
              </w:rPr>
              <w:t xml:space="preserve"> Ambient IoT devic</w:t>
            </w:r>
            <w:r>
              <w:rPr>
                <w:rFonts w:hint="eastAsia"/>
                <w:i/>
                <w:lang w:val="en-US"/>
              </w:rPr>
              <w:t>e</w:t>
            </w:r>
            <w:r>
              <w:rPr>
                <w:i/>
                <w:lang w:val="en-US"/>
              </w:rPr>
              <w:t xml:space="preserve"> requirements defined in </w:t>
            </w:r>
            <w:r>
              <w:rPr>
                <w:rFonts w:hint="eastAsia"/>
                <w:i/>
                <w:lang w:val="en-US"/>
              </w:rPr>
              <w:t xml:space="preserve">RAN4 spec </w:t>
            </w:r>
            <w:r>
              <w:rPr>
                <w:i/>
                <w:lang w:val="en-US"/>
              </w:rPr>
              <w:t>TS 3</w:t>
            </w:r>
            <w:r>
              <w:rPr>
                <w:rFonts w:hint="eastAsia"/>
                <w:i/>
                <w:lang w:val="en-US"/>
              </w:rPr>
              <w:t>8</w:t>
            </w:r>
            <w:r>
              <w:rPr>
                <w:i/>
                <w:lang w:val="en-US"/>
              </w:rPr>
              <w:t>.</w:t>
            </w:r>
            <w:r>
              <w:rPr>
                <w:rFonts w:hint="eastAsia"/>
                <w:i/>
                <w:lang w:val="en-US"/>
              </w:rPr>
              <w:t>191 (OTA)</w:t>
            </w:r>
            <w:r>
              <w:rPr>
                <w:i/>
                <w:lang w:val="en-US"/>
              </w:rPr>
              <w:t>.</w:t>
            </w:r>
          </w:p>
        </w:tc>
      </w:tr>
      <w:tr w14:paraId="3C5F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43883A0A">
            <w:pPr>
              <w:spacing w:after="0"/>
              <w:rPr>
                <w:i/>
                <w:lang w:val="en-US"/>
              </w:rPr>
            </w:pPr>
            <w:r>
              <w:rPr>
                <w:i/>
                <w:lang w:val="en-US"/>
              </w:rPr>
              <w:t>New TS</w:t>
            </w:r>
          </w:p>
        </w:tc>
        <w:tc>
          <w:tcPr>
            <w:tcW w:w="1022" w:type="dxa"/>
          </w:tcPr>
          <w:p w14:paraId="5C2760FB">
            <w:pPr>
              <w:spacing w:after="0"/>
              <w:rPr>
                <w:i/>
                <w:lang w:val="en-US"/>
              </w:rPr>
            </w:pPr>
            <w:r>
              <w:rPr>
                <w:i/>
                <w:lang w:val="en-US"/>
              </w:rPr>
              <w:t>TS 38.xxx</w:t>
            </w:r>
          </w:p>
        </w:tc>
        <w:tc>
          <w:tcPr>
            <w:tcW w:w="2493" w:type="dxa"/>
          </w:tcPr>
          <w:p w14:paraId="6DC064BB">
            <w:pPr>
              <w:pStyle w:val="53"/>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lang w:val="en-US"/>
              </w:rPr>
              <w:t xml:space="preserve">Ambient IoT device </w:t>
            </w:r>
            <w:r>
              <w:rPr>
                <w:rFonts w:hint="eastAsia" w:ascii="Times New Roman" w:hAnsi="Times New Roman" w:eastAsia="宋体"/>
                <w:i/>
                <w:lang w:val="en-US" w:eastAsia="zh-CN"/>
              </w:rPr>
              <w:t>c</w:t>
            </w:r>
            <w:r>
              <w:rPr>
                <w:rFonts w:ascii="Times New Roman" w:hAnsi="Times New Roman"/>
                <w:i/>
                <w:lang w:val="en-US"/>
              </w:rPr>
              <w:t>onformance specification;</w:t>
            </w:r>
            <w:r>
              <w:rPr>
                <w:rFonts w:hint="eastAsia" w:ascii="Times New Roman" w:hAnsi="Times New Roman" w:eastAsia="宋体"/>
                <w:i/>
                <w:lang w:val="en-US" w:eastAsia="zh-CN"/>
              </w:rPr>
              <w:t xml:space="preserve"> Part 2: </w:t>
            </w:r>
            <w:r>
              <w:rPr>
                <w:rFonts w:hint="eastAsia" w:ascii="Times New Roman" w:hAnsi="Times New Roman"/>
                <w:i/>
                <w:lang w:val="en-US"/>
              </w:rPr>
              <w:t xml:space="preserve">Protocol </w:t>
            </w:r>
            <w:r>
              <w:rPr>
                <w:rFonts w:ascii="Times New Roman" w:hAnsi="Times New Roman"/>
                <w:i/>
                <w:lang w:val="en-US"/>
              </w:rPr>
              <w:t>(Release 1</w:t>
            </w:r>
            <w:r>
              <w:rPr>
                <w:rFonts w:hint="eastAsia" w:ascii="Times New Roman" w:hAnsi="Times New Roman"/>
                <w:i/>
                <w:lang w:val="en-US"/>
              </w:rPr>
              <w:t>9</w:t>
            </w:r>
            <w:r>
              <w:rPr>
                <w:rFonts w:ascii="Times New Roman" w:hAnsi="Times New Roman"/>
                <w:i/>
                <w:lang w:val="en-US"/>
              </w:rPr>
              <w:t>)</w:t>
            </w:r>
          </w:p>
        </w:tc>
        <w:tc>
          <w:tcPr>
            <w:tcW w:w="1035" w:type="dxa"/>
          </w:tcPr>
          <w:p w14:paraId="08E55B30">
            <w:pPr>
              <w:pStyle w:val="53"/>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14:paraId="61E800A6">
            <w:pPr>
              <w:pStyle w:val="53"/>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14:paraId="1C6DD3B2">
            <w:pPr>
              <w:spacing w:after="0"/>
            </w:pPr>
            <w:r>
              <w:rPr>
                <w:i/>
                <w:lang w:val="en-US"/>
              </w:rPr>
              <w:t xml:space="preserve">To </w:t>
            </w:r>
            <w:r>
              <w:rPr>
                <w:rFonts w:hint="eastAsia" w:eastAsia="宋体"/>
                <w:i/>
                <w:lang w:val="en-US" w:eastAsia="zh-CN"/>
              </w:rPr>
              <w:t>specify</w:t>
            </w:r>
            <w:r>
              <w:rPr>
                <w:i/>
                <w:lang w:val="en-US"/>
              </w:rPr>
              <w:t xml:space="preserve"> </w:t>
            </w:r>
            <w:r>
              <w:rPr>
                <w:rFonts w:hint="eastAsia"/>
                <w:i/>
                <w:lang w:val="en-US"/>
              </w:rPr>
              <w:t>protocol</w:t>
            </w:r>
            <w:r>
              <w:rPr>
                <w:i/>
                <w:lang w:val="en-US"/>
              </w:rPr>
              <w:t xml:space="preserve"> conformance test cases for R1</w:t>
            </w:r>
            <w:r>
              <w:rPr>
                <w:rFonts w:hint="eastAsia"/>
                <w:i/>
                <w:lang w:val="en-US"/>
              </w:rPr>
              <w:t>9</w:t>
            </w:r>
            <w:r>
              <w:rPr>
                <w:i/>
                <w:lang w:val="en-US"/>
              </w:rPr>
              <w:t xml:space="preserve"> Ambient IoT devic</w:t>
            </w:r>
            <w:r>
              <w:rPr>
                <w:rFonts w:hint="eastAsia"/>
                <w:i/>
                <w:lang w:val="en-US"/>
              </w:rPr>
              <w:t>e</w:t>
            </w:r>
            <w:r>
              <w:rPr>
                <w:i/>
                <w:lang w:val="en-US"/>
              </w:rPr>
              <w:t xml:space="preserve"> requirements defined in </w:t>
            </w:r>
            <w:r>
              <w:rPr>
                <w:rFonts w:hint="eastAsia"/>
                <w:i/>
                <w:lang w:val="en-US"/>
              </w:rPr>
              <w:t xml:space="preserve">RAN2 spec </w:t>
            </w:r>
            <w:r>
              <w:rPr>
                <w:i/>
                <w:lang w:val="en-US"/>
              </w:rPr>
              <w:t>TS 3</w:t>
            </w:r>
            <w:r>
              <w:rPr>
                <w:rFonts w:hint="eastAsia"/>
                <w:i/>
                <w:lang w:val="en-US"/>
              </w:rPr>
              <w:t>8</w:t>
            </w:r>
            <w:r>
              <w:rPr>
                <w:i/>
                <w:lang w:val="en-US"/>
              </w:rPr>
              <w:t>.</w:t>
            </w:r>
            <w:r>
              <w:rPr>
                <w:rFonts w:hint="eastAsia"/>
                <w:i/>
                <w:lang w:val="en-US"/>
              </w:rPr>
              <w:t>391 (MAC)</w:t>
            </w:r>
            <w:r>
              <w:rPr>
                <w:i/>
                <w:lang w:val="en-US"/>
              </w:rPr>
              <w:t>.</w:t>
            </w:r>
          </w:p>
        </w:tc>
      </w:tr>
      <w:tr w14:paraId="2C72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A2E36D4">
            <w:pPr>
              <w:spacing w:after="0"/>
              <w:rPr>
                <w:i/>
                <w:lang w:val="en-US"/>
              </w:rPr>
            </w:pPr>
            <w:r>
              <w:rPr>
                <w:i/>
                <w:lang w:val="en-US"/>
              </w:rPr>
              <w:t>New TS</w:t>
            </w:r>
          </w:p>
        </w:tc>
        <w:tc>
          <w:tcPr>
            <w:tcW w:w="1022" w:type="dxa"/>
          </w:tcPr>
          <w:p w14:paraId="594A4E1E">
            <w:pPr>
              <w:spacing w:after="0"/>
              <w:rPr>
                <w:i/>
                <w:lang w:val="en-US"/>
              </w:rPr>
            </w:pPr>
            <w:r>
              <w:rPr>
                <w:i/>
                <w:lang w:val="en-US"/>
              </w:rPr>
              <w:t>TS 38.xxx</w:t>
            </w:r>
          </w:p>
        </w:tc>
        <w:tc>
          <w:tcPr>
            <w:tcW w:w="2493" w:type="dxa"/>
          </w:tcPr>
          <w:p w14:paraId="6DE55744">
            <w:pPr>
              <w:pStyle w:val="53"/>
              <w:rPr>
                <w:rFonts w:hint="eastAsia" w:ascii="Times New Roman" w:hAnsi="Times New Roman" w:eastAsia="宋体"/>
                <w:i/>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lang w:val="en-US"/>
              </w:rPr>
              <w:t>Ambient IoT device</w:t>
            </w:r>
            <w:r>
              <w:rPr>
                <w:rFonts w:hint="eastAsia" w:ascii="Times New Roman" w:hAnsi="Times New Roman"/>
                <w:i/>
                <w:lang w:val="en-US"/>
              </w:rPr>
              <w:t xml:space="preserve"> conformance specification; Part 3: Implementation Conformance Statement (ICS) (Release 19)</w:t>
            </w:r>
            <w:r>
              <w:rPr>
                <w:rFonts w:hint="eastAsia" w:ascii="Times New Roman" w:hAnsi="Times New Roman" w:eastAsia="宋体"/>
                <w:i/>
                <w:lang w:val="en-US" w:eastAsia="zh-CN"/>
              </w:rPr>
              <w:t xml:space="preserve"> </w:t>
            </w:r>
          </w:p>
        </w:tc>
        <w:tc>
          <w:tcPr>
            <w:tcW w:w="1035" w:type="dxa"/>
          </w:tcPr>
          <w:p w14:paraId="202BE168">
            <w:pPr>
              <w:pStyle w:val="53"/>
              <w:rPr>
                <w:rFonts w:cs="Arial"/>
                <w:sz w:val="16"/>
                <w:szCs w:val="16"/>
              </w:rPr>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14:paraId="716E2BFD">
            <w:pPr>
              <w:pStyle w:val="53"/>
              <w:rPr>
                <w:rFonts w:cs="Arial"/>
                <w:sz w:val="16"/>
                <w:szCs w:val="16"/>
              </w:rPr>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14:paraId="1149296B">
            <w:pPr>
              <w:spacing w:after="0"/>
              <w:rPr>
                <w:i/>
                <w:lang w:val="en-US"/>
              </w:rPr>
            </w:pPr>
            <w:r>
              <w:rPr>
                <w:rFonts w:hint="eastAsia"/>
                <w:i/>
                <w:lang w:val="en-US"/>
              </w:rPr>
              <w:t xml:space="preserve">To specify recommended test case applicability as well as ICS for RF/RRM </w:t>
            </w:r>
            <w:r>
              <w:rPr>
                <w:rFonts w:hint="eastAsia" w:eastAsia="宋体"/>
                <w:i/>
                <w:lang w:val="en-US" w:eastAsia="zh-CN"/>
              </w:rPr>
              <w:t>and</w:t>
            </w:r>
            <w:r>
              <w:rPr>
                <w:rFonts w:hint="eastAsia"/>
                <w:i/>
                <w:lang w:val="en-US"/>
              </w:rPr>
              <w:t xml:space="preserve"> MAC conformance test cases</w:t>
            </w:r>
          </w:p>
        </w:tc>
      </w:tr>
      <w:tr w14:paraId="4198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FF2B2CD">
            <w:pPr>
              <w:spacing w:after="0"/>
              <w:rPr>
                <w:i/>
                <w:lang w:val="en-US"/>
              </w:rPr>
            </w:pPr>
            <w:r>
              <w:rPr>
                <w:i/>
                <w:lang w:val="en-US"/>
              </w:rPr>
              <w:t>New TS</w:t>
            </w:r>
          </w:p>
        </w:tc>
        <w:tc>
          <w:tcPr>
            <w:tcW w:w="1022" w:type="dxa"/>
          </w:tcPr>
          <w:p w14:paraId="6330EB7F">
            <w:pPr>
              <w:spacing w:after="0"/>
              <w:rPr>
                <w:i/>
                <w:lang w:val="en-US"/>
              </w:rPr>
            </w:pPr>
            <w:r>
              <w:rPr>
                <w:i/>
                <w:lang w:val="en-US"/>
              </w:rPr>
              <w:t>TS 38.xxx</w:t>
            </w:r>
          </w:p>
        </w:tc>
        <w:tc>
          <w:tcPr>
            <w:tcW w:w="2493" w:type="dxa"/>
          </w:tcPr>
          <w:p w14:paraId="50541C0E">
            <w:pPr>
              <w:pStyle w:val="53"/>
              <w:rPr>
                <w:rFonts w:hint="eastAsia" w:ascii="Times New Roman" w:hAnsi="Times New Roman"/>
                <w:i/>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lang w:val="en-US"/>
              </w:rPr>
              <w:t>Ambient IoT device</w:t>
            </w:r>
            <w:r>
              <w:rPr>
                <w:rFonts w:hint="eastAsia" w:ascii="Times New Roman" w:hAnsi="Times New Roman"/>
                <w:i/>
                <w:lang w:val="en-US"/>
              </w:rPr>
              <w:t xml:space="preserve"> </w:t>
            </w:r>
            <w:r>
              <w:rPr>
                <w:rFonts w:hint="eastAsia" w:ascii="Times New Roman" w:hAnsi="Times New Roman" w:eastAsia="宋体"/>
                <w:i/>
                <w:lang w:val="en-US" w:eastAsia="zh-CN"/>
              </w:rPr>
              <w:t>c</w:t>
            </w:r>
            <w:r>
              <w:rPr>
                <w:rFonts w:hint="eastAsia" w:ascii="Times New Roman" w:hAnsi="Times New Roman"/>
                <w:i/>
                <w:lang w:val="en-US"/>
              </w:rPr>
              <w:t>onformance specification; Part 4: Protocol Test Suites (Release 19)</w:t>
            </w:r>
          </w:p>
        </w:tc>
        <w:tc>
          <w:tcPr>
            <w:tcW w:w="1035" w:type="dxa"/>
          </w:tcPr>
          <w:p w14:paraId="4046A881">
            <w:pPr>
              <w:pStyle w:val="53"/>
              <w:rPr>
                <w:rFonts w:cs="Arial"/>
                <w:sz w:val="16"/>
                <w:szCs w:val="16"/>
              </w:rPr>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14:paraId="42AA431D">
            <w:pPr>
              <w:pStyle w:val="53"/>
              <w:rPr>
                <w:rFonts w:cs="Arial"/>
                <w:sz w:val="16"/>
                <w:szCs w:val="16"/>
              </w:rPr>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14:paraId="0E0FC669">
            <w:pPr>
              <w:spacing w:after="0"/>
              <w:rPr>
                <w:rFonts w:hint="eastAsia"/>
                <w:i/>
                <w:lang w:val="en-US"/>
              </w:rPr>
            </w:pPr>
            <w:r>
              <w:rPr>
                <w:rFonts w:hint="eastAsia"/>
                <w:i/>
                <w:lang w:val="en-US"/>
              </w:rPr>
              <w:t>To specify the protocol and signalling conformance testing in TTCN-3</w:t>
            </w:r>
            <w:r>
              <w:rPr>
                <w:rFonts w:hint="eastAsia" w:eastAsia="宋体"/>
                <w:i/>
                <w:lang w:val="en-US" w:eastAsia="zh-CN"/>
              </w:rPr>
              <w:t xml:space="preserve"> (test model)</w:t>
            </w:r>
            <w:r>
              <w:rPr>
                <w:rFonts w:hint="eastAsia"/>
                <w:i/>
                <w:lang w:val="en-US"/>
              </w:rPr>
              <w:t xml:space="preserve"> for the A-IoT device connecting to the 5G System (5GS) via its radio interface(s)</w:t>
            </w:r>
          </w:p>
        </w:tc>
      </w:tr>
      <w:tr w14:paraId="6A6DD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40CC0D51">
            <w:pPr>
              <w:spacing w:after="0"/>
              <w:rPr>
                <w:rFonts w:hint="default" w:eastAsia="宋体"/>
                <w:i/>
                <w:lang w:val="en-US" w:eastAsia="zh-CN"/>
              </w:rPr>
            </w:pPr>
            <w:r>
              <w:rPr>
                <w:rFonts w:hint="eastAsia" w:eastAsia="宋体"/>
                <w:i/>
                <w:lang w:val="en-US" w:eastAsia="zh-CN"/>
              </w:rPr>
              <w:t>New TR</w:t>
            </w:r>
          </w:p>
        </w:tc>
        <w:tc>
          <w:tcPr>
            <w:tcW w:w="1022" w:type="dxa"/>
          </w:tcPr>
          <w:p w14:paraId="7B8D97F5">
            <w:pPr>
              <w:spacing w:after="0"/>
              <w:rPr>
                <w:i/>
                <w:lang w:val="en-US"/>
              </w:rPr>
            </w:pPr>
            <w:r>
              <w:rPr>
                <w:i/>
                <w:lang w:val="en-US"/>
              </w:rPr>
              <w:t>T</w:t>
            </w:r>
            <w:r>
              <w:rPr>
                <w:rFonts w:hint="eastAsia" w:eastAsia="宋体"/>
                <w:i/>
                <w:lang w:val="en-US" w:eastAsia="zh-CN"/>
              </w:rPr>
              <w:t>R</w:t>
            </w:r>
            <w:r>
              <w:rPr>
                <w:i/>
                <w:lang w:val="en-US"/>
              </w:rPr>
              <w:t xml:space="preserve"> 38.xxx</w:t>
            </w:r>
          </w:p>
        </w:tc>
        <w:tc>
          <w:tcPr>
            <w:tcW w:w="2493" w:type="dxa"/>
            <w:vAlign w:val="top"/>
          </w:tcPr>
          <w:p w14:paraId="1B3B3236">
            <w:pPr>
              <w:pStyle w:val="53"/>
              <w:rPr>
                <w:rFonts w:hint="eastAsia" w:ascii="Times New Roman" w:hAnsi="Times New Roman"/>
                <w:i/>
                <w:lang w:val="en-US"/>
              </w:rPr>
            </w:pPr>
            <w:r>
              <w:rPr>
                <w:rFonts w:hint="eastAsia" w:ascii="Times New Roman" w:hAnsi="Times New Roman" w:eastAsia="宋体"/>
                <w:i/>
                <w:lang w:val="en-US" w:eastAsia="zh-CN"/>
              </w:rPr>
              <w:t xml:space="preserve">NR; Derivation of test tolerances and measurement uncertainty and test points for Ambient IoT device radio transmission and reception conformance test cases </w:t>
            </w:r>
            <w:r>
              <w:rPr>
                <w:rFonts w:ascii="Times New Roman" w:hAnsi="Times New Roman"/>
                <w:i/>
                <w:lang w:val="en-US"/>
              </w:rPr>
              <w:t>(Release 1</w:t>
            </w:r>
            <w:r>
              <w:rPr>
                <w:rFonts w:hint="eastAsia" w:ascii="Times New Roman" w:hAnsi="Times New Roman"/>
                <w:i/>
                <w:lang w:val="en-US"/>
              </w:rPr>
              <w:t>9</w:t>
            </w:r>
            <w:r>
              <w:rPr>
                <w:rFonts w:ascii="Times New Roman" w:hAnsi="Times New Roman"/>
                <w:i/>
                <w:lang w:val="en-US"/>
              </w:rPr>
              <w:t>)</w:t>
            </w:r>
          </w:p>
        </w:tc>
        <w:tc>
          <w:tcPr>
            <w:tcW w:w="1035" w:type="dxa"/>
          </w:tcPr>
          <w:p w14:paraId="1A4F74D0">
            <w:pPr>
              <w:pStyle w:val="53"/>
              <w:rPr>
                <w:rFonts w:cs="Arial"/>
                <w:sz w:val="16"/>
                <w:szCs w:val="16"/>
              </w:rPr>
            </w:pPr>
            <w:r>
              <w:rPr>
                <w:rFonts w:cs="Arial"/>
                <w:sz w:val="16"/>
                <w:szCs w:val="16"/>
              </w:rPr>
              <w:t>TSG RAN#1</w:t>
            </w:r>
            <w:r>
              <w:rPr>
                <w:rFonts w:hint="eastAsia" w:cs="Arial"/>
                <w:sz w:val="16"/>
                <w:szCs w:val="16"/>
                <w:lang w:val="en-US"/>
              </w:rPr>
              <w:t>13</w:t>
            </w:r>
            <w:r>
              <w:rPr>
                <w:rFonts w:cs="Arial"/>
                <w:sz w:val="16"/>
                <w:szCs w:val="16"/>
              </w:rPr>
              <w:br w:type="textWrapping"/>
            </w:r>
            <w:r>
              <w:rPr>
                <w:rFonts w:cs="Arial"/>
                <w:sz w:val="16"/>
                <w:szCs w:val="16"/>
              </w:rPr>
              <w:t>(</w:t>
            </w:r>
            <w:r>
              <w:rPr>
                <w:rFonts w:hint="eastAsia" w:cs="Arial"/>
                <w:sz w:val="16"/>
                <w:szCs w:val="16"/>
                <w:lang w:val="en-US"/>
              </w:rPr>
              <w:t>Sep</w:t>
            </w:r>
            <w:r>
              <w:rPr>
                <w:rFonts w:cs="Arial"/>
                <w:sz w:val="16"/>
                <w:szCs w:val="16"/>
              </w:rPr>
              <w:t>-2</w:t>
            </w:r>
            <w:r>
              <w:rPr>
                <w:rFonts w:hint="eastAsia" w:cs="Arial"/>
                <w:sz w:val="16"/>
                <w:szCs w:val="16"/>
                <w:lang w:val="en-US"/>
              </w:rPr>
              <w:t>6</w:t>
            </w:r>
            <w:r>
              <w:rPr>
                <w:rFonts w:cs="Arial"/>
                <w:sz w:val="16"/>
                <w:szCs w:val="16"/>
              </w:rPr>
              <w:t>)</w:t>
            </w:r>
          </w:p>
        </w:tc>
        <w:tc>
          <w:tcPr>
            <w:tcW w:w="979" w:type="dxa"/>
          </w:tcPr>
          <w:p w14:paraId="1279709A">
            <w:pPr>
              <w:pStyle w:val="53"/>
              <w:rPr>
                <w:rFonts w:cs="Arial"/>
                <w:sz w:val="16"/>
                <w:szCs w:val="16"/>
              </w:rPr>
            </w:pPr>
            <w:r>
              <w:rPr>
                <w:rFonts w:cs="Arial"/>
                <w:sz w:val="16"/>
                <w:szCs w:val="16"/>
              </w:rPr>
              <w:t>TSG RAN#1</w:t>
            </w:r>
            <w:r>
              <w:rPr>
                <w:rFonts w:hint="eastAsia" w:cs="Arial"/>
                <w:sz w:val="16"/>
                <w:szCs w:val="16"/>
                <w:lang w:val="en-US"/>
              </w:rPr>
              <w:t>14</w:t>
            </w:r>
            <w:r>
              <w:rPr>
                <w:rFonts w:cs="Arial"/>
                <w:sz w:val="16"/>
                <w:szCs w:val="16"/>
              </w:rPr>
              <w:br w:type="textWrapping"/>
            </w:r>
            <w:r>
              <w:rPr>
                <w:rFonts w:cs="Arial"/>
                <w:sz w:val="16"/>
                <w:szCs w:val="16"/>
              </w:rPr>
              <w:t>(</w:t>
            </w:r>
            <w:r>
              <w:rPr>
                <w:rFonts w:hint="eastAsia" w:cs="Arial"/>
                <w:sz w:val="16"/>
                <w:szCs w:val="16"/>
                <w:lang w:val="en-US"/>
              </w:rPr>
              <w:t>Dec</w:t>
            </w:r>
            <w:r>
              <w:rPr>
                <w:rFonts w:cs="Arial"/>
                <w:sz w:val="16"/>
                <w:szCs w:val="16"/>
              </w:rPr>
              <w:t>-2</w:t>
            </w:r>
            <w:r>
              <w:rPr>
                <w:rFonts w:hint="eastAsia" w:cs="Arial"/>
                <w:sz w:val="16"/>
                <w:szCs w:val="16"/>
                <w:lang w:val="en-US"/>
              </w:rPr>
              <w:t>6</w:t>
            </w:r>
            <w:r>
              <w:rPr>
                <w:rFonts w:cs="Arial"/>
                <w:sz w:val="16"/>
                <w:szCs w:val="16"/>
              </w:rPr>
              <w:t>)</w:t>
            </w:r>
          </w:p>
        </w:tc>
        <w:tc>
          <w:tcPr>
            <w:tcW w:w="3191" w:type="dxa"/>
          </w:tcPr>
          <w:p w14:paraId="7DC46071">
            <w:pPr>
              <w:spacing w:after="0"/>
              <w:rPr>
                <w:rFonts w:hint="eastAsia"/>
                <w:i/>
                <w:lang w:val="en-US"/>
              </w:rPr>
            </w:pPr>
            <w:r>
              <w:rPr>
                <w:rFonts w:hint="eastAsia" w:ascii="Times New Roman" w:hAnsi="Times New Roman" w:eastAsia="宋体" w:cs="Times New Roman"/>
                <w:i/>
                <w:sz w:val="20"/>
                <w:szCs w:val="20"/>
                <w:lang w:val="en-US" w:eastAsia="zh-CN"/>
              </w:rPr>
              <w:t>To specify d</w:t>
            </w:r>
            <w:r>
              <w:rPr>
                <w:rFonts w:hint="eastAsia" w:ascii="Times New Roman" w:hAnsi="Times New Roman" w:eastAsia="Times New Roman" w:cs="Times New Roman"/>
                <w:i/>
                <w:sz w:val="20"/>
                <w:szCs w:val="20"/>
                <w:lang w:val="en-US"/>
              </w:rPr>
              <w:t xml:space="preserve">erivation of test tolerances and measurement uncertainty </w:t>
            </w:r>
            <w:r>
              <w:rPr>
                <w:rFonts w:hint="eastAsia" w:ascii="Times New Roman" w:hAnsi="Times New Roman" w:eastAsia="宋体"/>
                <w:i/>
                <w:lang w:val="en-US" w:eastAsia="zh-CN"/>
              </w:rPr>
              <w:t>and test points for Ambient IoT device radio transmission and reception conformance test cases</w:t>
            </w:r>
          </w:p>
        </w:tc>
      </w:tr>
    </w:tbl>
    <w:p w14:paraId="28CF11A4">
      <w:pPr>
        <w:pStyle w:val="65"/>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1F2D0ABC">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2AE49B78">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14:paraId="52568EDB">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1E01945B">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3DA53A87">
            <w:pPr>
              <w:spacing w:after="0"/>
              <w:ind w:right="-99"/>
              <w:rPr>
                <w:sz w:val="16"/>
                <w:szCs w:val="16"/>
              </w:rPr>
            </w:pPr>
            <w:r>
              <w:rPr>
                <w:rFonts w:ascii="Arial" w:hAnsi="Arial" w:eastAsia="宋体"/>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06C33439">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09B726C2">
            <w:pPr>
              <w:pStyle w:val="53"/>
              <w:ind w:right="-99"/>
              <w:rPr>
                <w:sz w:val="16"/>
                <w:szCs w:val="16"/>
              </w:rPr>
            </w:pPr>
            <w:r>
              <w:rPr>
                <w:sz w:val="16"/>
                <w:szCs w:val="16"/>
              </w:rPr>
              <w:t>Remarks</w:t>
            </w:r>
          </w:p>
        </w:tc>
      </w:tr>
      <w:tr w14:paraId="74D85841">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5DB3521B">
            <w:pPr>
              <w:pStyle w:val="53"/>
              <w:rPr>
                <w:rFonts w:cs="Tahoma"/>
                <w:sz w:val="16"/>
                <w:szCs w:val="16"/>
              </w:rPr>
            </w:pPr>
          </w:p>
        </w:tc>
        <w:tc>
          <w:tcPr>
            <w:tcW w:w="4344" w:type="dxa"/>
            <w:tcBorders>
              <w:top w:val="single" w:color="auto" w:sz="4" w:space="0"/>
              <w:left w:val="single" w:color="auto" w:sz="4" w:space="0"/>
              <w:bottom w:val="single" w:color="auto" w:sz="4" w:space="0"/>
              <w:right w:val="single" w:color="auto" w:sz="4" w:space="0"/>
            </w:tcBorders>
          </w:tcPr>
          <w:p w14:paraId="4361BAE3">
            <w:pPr>
              <w:pStyle w:val="53"/>
              <w:rPr>
                <w:rFonts w:cs="Tahoma"/>
                <w:sz w:val="16"/>
                <w:szCs w:val="16"/>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174B7195">
            <w:pPr>
              <w:pStyle w:val="53"/>
              <w:rPr>
                <w:rFonts w:eastAsia="宋体"/>
              </w:rPr>
            </w:pPr>
          </w:p>
        </w:tc>
        <w:tc>
          <w:tcPr>
            <w:tcW w:w="2101" w:type="dxa"/>
            <w:tcBorders>
              <w:top w:val="single" w:color="auto" w:sz="4" w:space="0"/>
              <w:left w:val="single" w:color="auto" w:sz="4" w:space="0"/>
              <w:bottom w:val="single" w:color="auto" w:sz="4" w:space="0"/>
              <w:right w:val="single" w:color="auto" w:sz="4" w:space="0"/>
            </w:tcBorders>
          </w:tcPr>
          <w:p w14:paraId="44510FCF">
            <w:pPr>
              <w:pStyle w:val="53"/>
            </w:pPr>
          </w:p>
        </w:tc>
      </w:tr>
    </w:tbl>
    <w:p w14:paraId="6C66EC65">
      <w:pPr>
        <w:pStyle w:val="65"/>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14:paraId="4387D228"/>
    <w:p w14:paraId="4C961EEC">
      <w:pPr>
        <w:pStyle w:val="2"/>
        <w:rPr>
          <w:sz w:val="32"/>
          <w:szCs w:val="32"/>
        </w:rPr>
      </w:pPr>
      <w:r>
        <w:rPr>
          <w:sz w:val="32"/>
          <w:szCs w:val="32"/>
        </w:rPr>
        <w:t>6</w:t>
      </w:r>
      <w:r>
        <w:rPr>
          <w:sz w:val="32"/>
          <w:szCs w:val="32"/>
        </w:rPr>
        <w:tab/>
      </w:r>
      <w:r>
        <w:rPr>
          <w:sz w:val="32"/>
          <w:szCs w:val="32"/>
        </w:rPr>
        <w:t>Work item Rapporteur(s)</w:t>
      </w:r>
    </w:p>
    <w:p w14:paraId="362D2E22">
      <w:pPr>
        <w:rPr>
          <w:rStyle w:val="49"/>
          <w:rFonts w:ascii="Arial" w:hAnsi="Arial" w:cs="Arial"/>
        </w:rPr>
      </w:pPr>
      <w:r>
        <w:rPr>
          <w:rFonts w:hint="eastAsia" w:ascii="Arial" w:hAnsi="Arial" w:cs="Arial"/>
        </w:rPr>
        <w:t>D</w:t>
      </w:r>
      <w:r>
        <w:rPr>
          <w:rFonts w:ascii="Arial" w:hAnsi="Arial" w:cs="Arial"/>
        </w:rPr>
        <w:t xml:space="preserve">an Song (CMCC), </w:t>
      </w:r>
      <w:r>
        <w:fldChar w:fldCharType="begin"/>
      </w:r>
      <w:r>
        <w:instrText xml:space="preserve"> HYPERLINK "mailto:songdan@chinamobile.com" </w:instrText>
      </w:r>
      <w:r>
        <w:fldChar w:fldCharType="separate"/>
      </w:r>
      <w:r>
        <w:rPr>
          <w:rStyle w:val="49"/>
          <w:rFonts w:ascii="Arial" w:hAnsi="Arial" w:cs="Arial"/>
        </w:rPr>
        <w:t>songdan@chinamobile.com</w:t>
      </w:r>
      <w:r>
        <w:rPr>
          <w:rStyle w:val="49"/>
          <w:rFonts w:ascii="Arial" w:hAnsi="Arial" w:cs="Arial"/>
        </w:rPr>
        <w:fldChar w:fldCharType="end"/>
      </w:r>
    </w:p>
    <w:p w14:paraId="7E4FA57D">
      <w:pPr>
        <w:rPr>
          <w:rStyle w:val="49"/>
          <w:rFonts w:ascii="Arial" w:hAnsi="Arial" w:eastAsia="宋体" w:cs="Arial"/>
          <w:lang w:val="en-US"/>
        </w:rPr>
      </w:pPr>
      <w:r>
        <w:rPr>
          <w:rFonts w:ascii="Arial" w:hAnsi="Arial" w:cs="Arial"/>
          <w:lang w:val="en-US"/>
        </w:rPr>
        <w:t xml:space="preserve">Yaping Zhang (Huawei), </w:t>
      </w:r>
      <w:r>
        <w:rPr>
          <w:rStyle w:val="49"/>
          <w:rFonts w:ascii="Arial" w:hAnsi="Arial" w:eastAsia="宋体" w:cs="Arial"/>
        </w:rPr>
        <w:t>zhangyaping13@huawei.com</w:t>
      </w:r>
    </w:p>
    <w:p w14:paraId="508CB621">
      <w:pPr>
        <w:pStyle w:val="2"/>
        <w:rPr>
          <w:sz w:val="32"/>
          <w:szCs w:val="32"/>
        </w:rPr>
      </w:pPr>
      <w:r>
        <w:rPr>
          <w:sz w:val="32"/>
          <w:szCs w:val="32"/>
        </w:rPr>
        <w:t>7</w:t>
      </w:r>
      <w:r>
        <w:rPr>
          <w:sz w:val="32"/>
          <w:szCs w:val="32"/>
        </w:rPr>
        <w:tab/>
      </w:r>
      <w:r>
        <w:rPr>
          <w:sz w:val="32"/>
          <w:szCs w:val="32"/>
        </w:rPr>
        <w:t>Work item leadership</w:t>
      </w:r>
    </w:p>
    <w:p w14:paraId="4133E46F">
      <w:r>
        <w:rPr>
          <w:rFonts w:hint="eastAsia"/>
        </w:rPr>
        <w:t>R</w:t>
      </w:r>
      <w:r>
        <w:t>AN5</w:t>
      </w:r>
    </w:p>
    <w:p w14:paraId="7ECF44FF">
      <w:pPr>
        <w:pStyle w:val="2"/>
        <w:rPr>
          <w:sz w:val="32"/>
          <w:szCs w:val="32"/>
        </w:rPr>
      </w:pPr>
      <w:r>
        <w:rPr>
          <w:sz w:val="32"/>
          <w:szCs w:val="32"/>
        </w:rPr>
        <w:t>8</w:t>
      </w:r>
      <w:r>
        <w:rPr>
          <w:sz w:val="32"/>
          <w:szCs w:val="32"/>
        </w:rPr>
        <w:tab/>
      </w:r>
      <w:r>
        <w:rPr>
          <w:sz w:val="32"/>
          <w:szCs w:val="32"/>
        </w:rPr>
        <w:t>Aspects that involve other WGs</w:t>
      </w:r>
    </w:p>
    <w:p w14:paraId="7096E032">
      <w:r>
        <w:rPr>
          <w:rFonts w:hint="eastAsia"/>
        </w:rPr>
        <w:t>N</w:t>
      </w:r>
      <w:r>
        <w:t>one</w:t>
      </w:r>
    </w:p>
    <w:p w14:paraId="6723DE37">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2DC1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6610CE27">
            <w:pPr>
              <w:pStyle w:val="56"/>
            </w:pPr>
            <w:r>
              <w:t>Supporting IM name</w:t>
            </w:r>
          </w:p>
        </w:tc>
      </w:tr>
      <w:tr w14:paraId="03DF4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6C1CCEB">
            <w:pPr>
              <w:pStyle w:val="53"/>
            </w:pPr>
            <w:r>
              <w:rPr>
                <w:rFonts w:hint="eastAsia"/>
              </w:rPr>
              <w:t>C</w:t>
            </w:r>
            <w:r>
              <w:t>MCC</w:t>
            </w:r>
          </w:p>
        </w:tc>
      </w:tr>
      <w:tr w14:paraId="2418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28962BBC">
            <w:pPr>
              <w:pStyle w:val="53"/>
              <w:rPr>
                <w:lang w:val="en-US"/>
              </w:rPr>
            </w:pPr>
            <w:r>
              <w:rPr>
                <w:rFonts w:hint="eastAsia"/>
                <w:lang w:val="en-US"/>
              </w:rPr>
              <w:t>Huawei</w:t>
            </w:r>
          </w:p>
        </w:tc>
      </w:tr>
      <w:tr w14:paraId="60D56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002A734">
            <w:pPr>
              <w:pStyle w:val="53"/>
              <w:rPr>
                <w:lang w:val="en-US"/>
              </w:rPr>
            </w:pPr>
            <w:r>
              <w:rPr>
                <w:rFonts w:hint="eastAsia"/>
                <w:lang w:val="en-US"/>
              </w:rPr>
              <w:t>HiSilicon</w:t>
            </w:r>
          </w:p>
        </w:tc>
      </w:tr>
      <w:tr w14:paraId="567E5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1AB428">
            <w:pPr>
              <w:pStyle w:val="53"/>
              <w:rPr>
                <w:rFonts w:hint="default" w:eastAsia="宋体"/>
                <w:lang w:val="en-US" w:eastAsia="zh-CN"/>
              </w:rPr>
            </w:pPr>
            <w:r>
              <w:rPr>
                <w:rFonts w:hint="eastAsia" w:eastAsia="宋体"/>
                <w:lang w:val="en-US" w:eastAsia="zh-CN"/>
              </w:rPr>
              <w:t>Xiaomi</w:t>
            </w:r>
            <w:bookmarkStart w:id="3" w:name="_GoBack"/>
            <w:bookmarkEnd w:id="3"/>
          </w:p>
        </w:tc>
      </w:tr>
      <w:tr w14:paraId="44F69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842C7C4">
            <w:pPr>
              <w:pStyle w:val="53"/>
              <w:rPr>
                <w:lang w:val="en-US"/>
              </w:rPr>
            </w:pPr>
          </w:p>
        </w:tc>
      </w:tr>
      <w:tr w14:paraId="514F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236F485">
            <w:pPr>
              <w:pStyle w:val="53"/>
              <w:rPr>
                <w:lang w:val="en-US"/>
              </w:rPr>
            </w:pPr>
          </w:p>
        </w:tc>
      </w:tr>
      <w:tr w14:paraId="4E0D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6D937C1C">
            <w:pPr>
              <w:pStyle w:val="53"/>
              <w:rPr>
                <w:lang w:val="en-US"/>
              </w:rPr>
            </w:pPr>
          </w:p>
        </w:tc>
      </w:tr>
      <w:tr w14:paraId="206D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14:paraId="68870F97">
            <w:pPr>
              <w:pStyle w:val="53"/>
              <w:rPr>
                <w:lang w:val="en-US"/>
              </w:rPr>
            </w:pPr>
          </w:p>
        </w:tc>
      </w:tr>
    </w:tbl>
    <w:p w14:paraId="35EB2453"/>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9513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734614"/>
    <w:rsid w:val="027D09BE"/>
    <w:rsid w:val="03F04E05"/>
    <w:rsid w:val="047B6F67"/>
    <w:rsid w:val="04CE70E5"/>
    <w:rsid w:val="05134D42"/>
    <w:rsid w:val="05852C9D"/>
    <w:rsid w:val="058C4826"/>
    <w:rsid w:val="065467ED"/>
    <w:rsid w:val="075E5DA6"/>
    <w:rsid w:val="078E197D"/>
    <w:rsid w:val="085417B6"/>
    <w:rsid w:val="0865038C"/>
    <w:rsid w:val="093D62F8"/>
    <w:rsid w:val="09AB55EB"/>
    <w:rsid w:val="0A25279D"/>
    <w:rsid w:val="0B112752"/>
    <w:rsid w:val="0B9E1A24"/>
    <w:rsid w:val="0BE71621"/>
    <w:rsid w:val="0C605AD8"/>
    <w:rsid w:val="0CCC4298"/>
    <w:rsid w:val="10C25842"/>
    <w:rsid w:val="11FF5A95"/>
    <w:rsid w:val="130242C5"/>
    <w:rsid w:val="13BE354D"/>
    <w:rsid w:val="14DC7147"/>
    <w:rsid w:val="157432E4"/>
    <w:rsid w:val="15C00DAC"/>
    <w:rsid w:val="16C54A69"/>
    <w:rsid w:val="16EA4CA9"/>
    <w:rsid w:val="172E14D7"/>
    <w:rsid w:val="17AC14CE"/>
    <w:rsid w:val="1862578F"/>
    <w:rsid w:val="18A37BB8"/>
    <w:rsid w:val="19AC65C5"/>
    <w:rsid w:val="1A2453EF"/>
    <w:rsid w:val="1ADD256D"/>
    <w:rsid w:val="1B50295E"/>
    <w:rsid w:val="1B5D63F1"/>
    <w:rsid w:val="1B9C5910"/>
    <w:rsid w:val="1BED245D"/>
    <w:rsid w:val="1C577963"/>
    <w:rsid w:val="1D4B3670"/>
    <w:rsid w:val="1D4C369E"/>
    <w:rsid w:val="1D7F4096"/>
    <w:rsid w:val="1D9E7C25"/>
    <w:rsid w:val="1DBE57A4"/>
    <w:rsid w:val="1DC348B1"/>
    <w:rsid w:val="1E073DD1"/>
    <w:rsid w:val="1E2C658F"/>
    <w:rsid w:val="1E6623D7"/>
    <w:rsid w:val="1EBC7B49"/>
    <w:rsid w:val="1F28772C"/>
    <w:rsid w:val="1F3C63CC"/>
    <w:rsid w:val="2026764F"/>
    <w:rsid w:val="20481C07"/>
    <w:rsid w:val="212A5BF7"/>
    <w:rsid w:val="238B1EDE"/>
    <w:rsid w:val="243F2C87"/>
    <w:rsid w:val="251A6CB5"/>
    <w:rsid w:val="25B81E8A"/>
    <w:rsid w:val="25C609A2"/>
    <w:rsid w:val="25ED24B7"/>
    <w:rsid w:val="25F330CF"/>
    <w:rsid w:val="2728771E"/>
    <w:rsid w:val="279F262B"/>
    <w:rsid w:val="280C5191"/>
    <w:rsid w:val="28271E6C"/>
    <w:rsid w:val="28341582"/>
    <w:rsid w:val="289F0C32"/>
    <w:rsid w:val="28F039B6"/>
    <w:rsid w:val="29426A36"/>
    <w:rsid w:val="297A3E18"/>
    <w:rsid w:val="29CA4E9C"/>
    <w:rsid w:val="2A3263AB"/>
    <w:rsid w:val="2B20324F"/>
    <w:rsid w:val="2BE14B17"/>
    <w:rsid w:val="2C43682A"/>
    <w:rsid w:val="2C4602D1"/>
    <w:rsid w:val="2CA3594A"/>
    <w:rsid w:val="2D277455"/>
    <w:rsid w:val="2D29396D"/>
    <w:rsid w:val="2D432919"/>
    <w:rsid w:val="2D444746"/>
    <w:rsid w:val="2D530865"/>
    <w:rsid w:val="2DBF2D37"/>
    <w:rsid w:val="2DE5166B"/>
    <w:rsid w:val="2EA4080B"/>
    <w:rsid w:val="2EF56B62"/>
    <w:rsid w:val="2F1F5CDD"/>
    <w:rsid w:val="2F880A79"/>
    <w:rsid w:val="30697FFE"/>
    <w:rsid w:val="30955D5F"/>
    <w:rsid w:val="317D512B"/>
    <w:rsid w:val="31C97E3A"/>
    <w:rsid w:val="31FB76F2"/>
    <w:rsid w:val="33E90EA0"/>
    <w:rsid w:val="34481AF5"/>
    <w:rsid w:val="346B1D92"/>
    <w:rsid w:val="34F528F0"/>
    <w:rsid w:val="360E6B9F"/>
    <w:rsid w:val="3663644C"/>
    <w:rsid w:val="368E138D"/>
    <w:rsid w:val="36941198"/>
    <w:rsid w:val="37092303"/>
    <w:rsid w:val="375A77DC"/>
    <w:rsid w:val="384F5634"/>
    <w:rsid w:val="38A52D29"/>
    <w:rsid w:val="39E76D44"/>
    <w:rsid w:val="3AEC1C91"/>
    <w:rsid w:val="3B3618E7"/>
    <w:rsid w:val="3BA91503"/>
    <w:rsid w:val="3C6F5636"/>
    <w:rsid w:val="3CE26B8F"/>
    <w:rsid w:val="3CF06E89"/>
    <w:rsid w:val="3D6E1416"/>
    <w:rsid w:val="3EF63D5B"/>
    <w:rsid w:val="3F566DFD"/>
    <w:rsid w:val="3F756BE7"/>
    <w:rsid w:val="40962182"/>
    <w:rsid w:val="40BB01C3"/>
    <w:rsid w:val="40C81A57"/>
    <w:rsid w:val="41615903"/>
    <w:rsid w:val="421906D7"/>
    <w:rsid w:val="42E313B2"/>
    <w:rsid w:val="431A4C54"/>
    <w:rsid w:val="43985FF2"/>
    <w:rsid w:val="44380DDF"/>
    <w:rsid w:val="44D45521"/>
    <w:rsid w:val="44F23779"/>
    <w:rsid w:val="454C0948"/>
    <w:rsid w:val="4586324F"/>
    <w:rsid w:val="46242042"/>
    <w:rsid w:val="465C267B"/>
    <w:rsid w:val="466B35E0"/>
    <w:rsid w:val="467D1D87"/>
    <w:rsid w:val="46F9283F"/>
    <w:rsid w:val="47C77051"/>
    <w:rsid w:val="485C5346"/>
    <w:rsid w:val="48BA1708"/>
    <w:rsid w:val="49892535"/>
    <w:rsid w:val="4A553237"/>
    <w:rsid w:val="4AED5199"/>
    <w:rsid w:val="4C7F348C"/>
    <w:rsid w:val="4CFF2AE1"/>
    <w:rsid w:val="4D2D2130"/>
    <w:rsid w:val="4E1F670D"/>
    <w:rsid w:val="4E4E76D0"/>
    <w:rsid w:val="4E917F66"/>
    <w:rsid w:val="4F342A81"/>
    <w:rsid w:val="4FAC61E2"/>
    <w:rsid w:val="4FAE4949"/>
    <w:rsid w:val="4FC214CB"/>
    <w:rsid w:val="503735A8"/>
    <w:rsid w:val="50B15572"/>
    <w:rsid w:val="52016097"/>
    <w:rsid w:val="524C6CD0"/>
    <w:rsid w:val="53E0692D"/>
    <w:rsid w:val="549C0310"/>
    <w:rsid w:val="55956954"/>
    <w:rsid w:val="55AF7D5C"/>
    <w:rsid w:val="55E83DF7"/>
    <w:rsid w:val="55EF668D"/>
    <w:rsid w:val="560B18D1"/>
    <w:rsid w:val="564571C2"/>
    <w:rsid w:val="56CA4E10"/>
    <w:rsid w:val="56DF3324"/>
    <w:rsid w:val="58180086"/>
    <w:rsid w:val="59047E99"/>
    <w:rsid w:val="591A7E3E"/>
    <w:rsid w:val="594F26CA"/>
    <w:rsid w:val="5BA474E8"/>
    <w:rsid w:val="5D147DCD"/>
    <w:rsid w:val="5D281324"/>
    <w:rsid w:val="5D530440"/>
    <w:rsid w:val="5DA424B0"/>
    <w:rsid w:val="5E687C70"/>
    <w:rsid w:val="5EA65556"/>
    <w:rsid w:val="5ED746B8"/>
    <w:rsid w:val="5F392547"/>
    <w:rsid w:val="5F51342E"/>
    <w:rsid w:val="60401358"/>
    <w:rsid w:val="604D240F"/>
    <w:rsid w:val="60657EC2"/>
    <w:rsid w:val="607A6933"/>
    <w:rsid w:val="609008FA"/>
    <w:rsid w:val="60B50CCE"/>
    <w:rsid w:val="6105633A"/>
    <w:rsid w:val="610747F4"/>
    <w:rsid w:val="61FC4BC9"/>
    <w:rsid w:val="62736EDF"/>
    <w:rsid w:val="62803947"/>
    <w:rsid w:val="62D82039"/>
    <w:rsid w:val="63092A34"/>
    <w:rsid w:val="63A70E8C"/>
    <w:rsid w:val="64DC0CDE"/>
    <w:rsid w:val="65274800"/>
    <w:rsid w:val="65333E96"/>
    <w:rsid w:val="65786B89"/>
    <w:rsid w:val="657A1460"/>
    <w:rsid w:val="658B4525"/>
    <w:rsid w:val="66911854"/>
    <w:rsid w:val="669406BC"/>
    <w:rsid w:val="67980D82"/>
    <w:rsid w:val="69D20A2C"/>
    <w:rsid w:val="69FF49F3"/>
    <w:rsid w:val="6AF13082"/>
    <w:rsid w:val="6AF63433"/>
    <w:rsid w:val="6B0B1A2E"/>
    <w:rsid w:val="6BE86A4A"/>
    <w:rsid w:val="6C0E65DE"/>
    <w:rsid w:val="6D462FD6"/>
    <w:rsid w:val="6E020B69"/>
    <w:rsid w:val="6EA252AF"/>
    <w:rsid w:val="6EB0091A"/>
    <w:rsid w:val="6ED53C62"/>
    <w:rsid w:val="6ED9046A"/>
    <w:rsid w:val="6F411468"/>
    <w:rsid w:val="70117FDD"/>
    <w:rsid w:val="70363F4F"/>
    <w:rsid w:val="71542D7C"/>
    <w:rsid w:val="71AE3371"/>
    <w:rsid w:val="71C233B0"/>
    <w:rsid w:val="7214323D"/>
    <w:rsid w:val="7281353B"/>
    <w:rsid w:val="73222073"/>
    <w:rsid w:val="736C78D3"/>
    <w:rsid w:val="736D15F4"/>
    <w:rsid w:val="73CE6FAD"/>
    <w:rsid w:val="73FF7279"/>
    <w:rsid w:val="74E10D4F"/>
    <w:rsid w:val="754F1383"/>
    <w:rsid w:val="75C42647"/>
    <w:rsid w:val="76D23E26"/>
    <w:rsid w:val="775C359E"/>
    <w:rsid w:val="78FA1A7F"/>
    <w:rsid w:val="792E5ADB"/>
    <w:rsid w:val="79492313"/>
    <w:rsid w:val="79FC2CB0"/>
    <w:rsid w:val="7A1D5075"/>
    <w:rsid w:val="7A6D55EE"/>
    <w:rsid w:val="7ADB231E"/>
    <w:rsid w:val="7B1511FF"/>
    <w:rsid w:val="7BAD4DDA"/>
    <w:rsid w:val="7BC01697"/>
    <w:rsid w:val="7CDA2332"/>
    <w:rsid w:val="7D090547"/>
    <w:rsid w:val="7D7D4E70"/>
    <w:rsid w:val="7DC06BDF"/>
    <w:rsid w:val="7DF37AE6"/>
    <w:rsid w:val="7E6D151A"/>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semiHidden/>
    <w:qFormat/>
    <w:uiPriority w:val="0"/>
    <w:pPr>
      <w:ind w:left="1418" w:hanging="1418"/>
    </w:p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basedOn w:val="46"/>
    <w:semiHidden/>
    <w:qFormat/>
    <w:uiPriority w:val="0"/>
    <w:rPr>
      <w:b/>
      <w:position w:val="6"/>
      <w:sz w:val="16"/>
    </w:rPr>
  </w:style>
  <w:style w:type="character" w:customStyle="1" w:styleId="52">
    <w:name w:val="页脚 字符"/>
    <w:link w:val="35"/>
    <w:qFormat/>
    <w:uiPriority w:val="0"/>
    <w:rPr>
      <w:rFonts w:ascii="Arial" w:hAnsi="Arial" w:eastAsia="Times New Roman"/>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eastAsia="Times New Roman"/>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eastAsia="宋体"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9"/>
    <w:qFormat/>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qFormat/>
    <w:uiPriority w:val="0"/>
    <w:rPr>
      <w:i/>
      <w:color w:val="000000"/>
      <w:lang w:eastAsia="ja-JP"/>
    </w:rPr>
  </w:style>
  <w:style w:type="character" w:customStyle="1" w:styleId="93">
    <w:name w:val="_Style 92"/>
    <w:unhideWhenUsed/>
    <w:qFormat/>
    <w:uiPriority w:val="99"/>
    <w:rPr>
      <w:color w:val="605E5C"/>
      <w:shd w:val="clear" w:color="auto" w:fill="E1DFDD"/>
    </w:rPr>
  </w:style>
  <w:style w:type="paragraph" w:customStyle="1" w:styleId="94">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4</Pages>
  <Words>1436</Words>
  <Characters>8186</Characters>
  <Lines>68</Lines>
  <Paragraphs>19</Paragraphs>
  <TotalTime>24</TotalTime>
  <ScaleCrop>false</ScaleCrop>
  <LinksUpToDate>false</LinksUpToDate>
  <CharactersWithSpaces>9603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CMCC-Luyang Zhao</cp:lastModifiedBy>
  <cp:lastPrinted>2000-02-29T00:31:00Z</cp:lastPrinted>
  <dcterms:modified xsi:type="dcterms:W3CDTF">2025-08-15T01:27:34Z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2052-12.8.2.18205</vt:lpwstr>
  </property>
  <property fmtid="{D5CDD505-2E9C-101B-9397-08002B2CF9AE}" pid="8" name="ICV">
    <vt:lpwstr>C1507477F84E4BD6ACFAB3354E6698D4_13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ies>
</file>